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2" w:rsidRDefault="006B3422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-571500</wp:posOffset>
            </wp:positionV>
            <wp:extent cx="2474595" cy="942975"/>
            <wp:effectExtent l="19050" t="0" r="1905" b="0"/>
            <wp:wrapThrough wrapText="bothSides">
              <wp:wrapPolygon edited="0">
                <wp:start x="-166" y="0"/>
                <wp:lineTo x="-166" y="21382"/>
                <wp:lineTo x="21617" y="21382"/>
                <wp:lineTo x="21617" y="0"/>
                <wp:lineTo x="-166" y="0"/>
              </wp:wrapPolygon>
            </wp:wrapThrough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422" w:rsidRPr="006B3422" w:rsidRDefault="006B3422" w:rsidP="004B5279">
      <w:pPr>
        <w:jc w:val="center"/>
        <w:rPr>
          <w:sz w:val="32"/>
          <w:szCs w:val="32"/>
        </w:rPr>
      </w:pPr>
      <w:r w:rsidRPr="006B3422">
        <w:rPr>
          <w:sz w:val="32"/>
          <w:szCs w:val="32"/>
        </w:rPr>
        <w:t>Communiqué de presse</w:t>
      </w:r>
    </w:p>
    <w:p w:rsidR="000B6543" w:rsidRDefault="000B6543" w:rsidP="004B5279">
      <w:pPr>
        <w:jc w:val="right"/>
        <w:rPr>
          <w:b/>
        </w:rPr>
      </w:pP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0B6543" w:rsidRDefault="00BC3D6E" w:rsidP="000B6543">
      <w:pPr>
        <w:spacing w:after="0" w:line="360" w:lineRule="auto"/>
        <w:jc w:val="center"/>
        <w:rPr>
          <w:b/>
        </w:rPr>
      </w:pPr>
      <w:r>
        <w:rPr>
          <w:b/>
        </w:rPr>
        <w:t>Un</w:t>
      </w:r>
      <w:r w:rsidR="00546932">
        <w:rPr>
          <w:b/>
        </w:rPr>
        <w:t xml:space="preserve"> pas vers l’action </w:t>
      </w:r>
      <w:r w:rsidR="00DA0600">
        <w:rPr>
          <w:b/>
        </w:rPr>
        <w:t>sur l’économie d’eau potable</w:t>
      </w:r>
      <w:r w:rsidR="00546932">
        <w:rPr>
          <w:b/>
        </w:rPr>
        <w:t> :</w:t>
      </w:r>
      <w:r w:rsidR="00DA0600">
        <w:rPr>
          <w:b/>
        </w:rPr>
        <w:t xml:space="preserve"> les barils de récupération d’eau de pluie</w:t>
      </w:r>
    </w:p>
    <w:p w:rsidR="00655CBC" w:rsidRPr="000B6543" w:rsidRDefault="00655CBC" w:rsidP="000B6543">
      <w:pPr>
        <w:spacing w:after="0" w:line="360" w:lineRule="auto"/>
        <w:jc w:val="center"/>
        <w:rPr>
          <w:b/>
        </w:rPr>
      </w:pPr>
    </w:p>
    <w:p w:rsidR="003B7B62" w:rsidRDefault="00275926" w:rsidP="003B7B62">
      <w:pPr>
        <w:spacing w:after="0" w:line="360" w:lineRule="auto"/>
        <w:jc w:val="both"/>
      </w:pPr>
      <w:r>
        <w:rPr>
          <w:b/>
          <w:u w:val="single"/>
        </w:rPr>
        <w:t>Causapscal,</w:t>
      </w:r>
      <w:r w:rsidR="001D1658">
        <w:rPr>
          <w:b/>
          <w:u w:val="single"/>
        </w:rPr>
        <w:t xml:space="preserve"> 3 février</w:t>
      </w:r>
      <w:r w:rsidR="008F7CC2">
        <w:rPr>
          <w:b/>
          <w:u w:val="single"/>
        </w:rPr>
        <w:t xml:space="preserve"> 2012</w:t>
      </w:r>
      <w:r w:rsidR="006B3422">
        <w:t>-</w:t>
      </w:r>
      <w:r w:rsidR="00D87CB2">
        <w:t xml:space="preserve"> </w:t>
      </w:r>
      <w:r w:rsidR="00D154CB">
        <w:t xml:space="preserve"> </w:t>
      </w:r>
      <w:r w:rsidR="007A2CC0">
        <w:t>Le 25 janvier dernier, l’Organisme de bassin versant Matapédia-Restigouche organisait une table de concertation élargie au Centre de formation professionnelle en foresterie de l’Est-du-Québec</w:t>
      </w:r>
      <w:r w:rsidR="00BA1623">
        <w:t xml:space="preserve"> à Causapscal</w:t>
      </w:r>
      <w:r w:rsidR="007A2CC0">
        <w:t>.</w:t>
      </w:r>
      <w:r w:rsidR="00681175">
        <w:t xml:space="preserve">  </w:t>
      </w:r>
      <w:r w:rsidR="00546932">
        <w:t>Un des</w:t>
      </w:r>
      <w:r w:rsidR="00681175">
        <w:t xml:space="preserve"> thèmes abordées </w:t>
      </w:r>
      <w:r w:rsidR="00546932">
        <w:t xml:space="preserve">est </w:t>
      </w:r>
      <w:r w:rsidR="00681175">
        <w:t>notamment la consommation responsabl</w:t>
      </w:r>
      <w:r w:rsidR="00D268C2">
        <w:t>e de l’e</w:t>
      </w:r>
      <w:r w:rsidR="00681175">
        <w:t>au potable.</w:t>
      </w:r>
      <w:r w:rsidR="003B7B62" w:rsidRPr="003B7B62">
        <w:t xml:space="preserve"> </w:t>
      </w:r>
      <w:r w:rsidR="003B7B62">
        <w:t xml:space="preserve">Durant cette activité, des représentants des secteurs faunique, agricole, municipal, et environnemental ont pris part à diverses présentations sur l’économie d’eau potable. </w:t>
      </w:r>
    </w:p>
    <w:p w:rsidR="00144120" w:rsidRDefault="00144120" w:rsidP="007A2CC0">
      <w:pPr>
        <w:spacing w:after="0" w:line="360" w:lineRule="auto"/>
        <w:jc w:val="both"/>
      </w:pPr>
    </w:p>
    <w:p w:rsidR="00681175" w:rsidRDefault="00681175" w:rsidP="003B7B62">
      <w:pPr>
        <w:spacing w:line="360" w:lineRule="auto"/>
        <w:jc w:val="both"/>
      </w:pPr>
      <w:r w:rsidRPr="00D208FD">
        <w:t>D</w:t>
      </w:r>
      <w:r>
        <w:t xml:space="preserve">ans le cadre du </w:t>
      </w:r>
      <w:r w:rsidRPr="00D208FD">
        <w:t>Plan directeur de l’eau</w:t>
      </w:r>
      <w:r>
        <w:t xml:space="preserve"> du bassin versant Matapédia-Restigouche</w:t>
      </w:r>
      <w:r w:rsidRPr="00D208FD">
        <w:t xml:space="preserve">, </w:t>
      </w:r>
      <w:r>
        <w:t>l’apport de sédiment aux cours d’eau dans les périmètres urbains longeant la rivière Matapédia est une problématique d’importance.  Pour l’</w:t>
      </w:r>
      <w:r w:rsidRPr="00D208FD">
        <w:t xml:space="preserve">orientation </w:t>
      </w:r>
      <w:r w:rsidRPr="003B7B62">
        <w:rPr>
          <w:b/>
          <w:bCs/>
        </w:rPr>
        <w:t xml:space="preserve">2.3.2 Réduire l'impact des égouts pluviaux sur les plans d'eau, </w:t>
      </w:r>
      <w:r w:rsidRPr="000169D3">
        <w:rPr>
          <w:bCs/>
        </w:rPr>
        <w:t xml:space="preserve">une des stratégies d’action </w:t>
      </w:r>
      <w:r w:rsidR="00546932" w:rsidRPr="000169D3">
        <w:rPr>
          <w:bCs/>
        </w:rPr>
        <w:t>qui en découle est</w:t>
      </w:r>
      <w:r w:rsidRPr="000169D3">
        <w:rPr>
          <w:bCs/>
        </w:rPr>
        <w:t xml:space="preserve"> </w:t>
      </w:r>
      <w:r w:rsidR="00546932" w:rsidRPr="00546932">
        <w:rPr>
          <w:u w:val="single"/>
        </w:rPr>
        <w:t>l’instauration d‘</w:t>
      </w:r>
      <w:r w:rsidRPr="003B7B62">
        <w:rPr>
          <w:u w:val="single"/>
        </w:rPr>
        <w:t>un soutien financier pour fournir des barils de récupération des eaux de pluie à bas prix</w:t>
      </w:r>
      <w:r w:rsidRPr="003B7B62">
        <w:t xml:space="preserve"> (action 2.3.2.G)</w:t>
      </w:r>
      <w:r w:rsidR="00EC4F08">
        <w:t xml:space="preserve"> </w:t>
      </w:r>
      <w:hyperlink r:id="rId9" w:history="1">
        <w:r w:rsidR="00EC4F08" w:rsidRPr="00EC4F08">
          <w:rPr>
            <w:rStyle w:val="Lienhypertexte"/>
          </w:rPr>
          <w:t xml:space="preserve">(voir </w:t>
        </w:r>
        <w:r w:rsidR="00546932">
          <w:rPr>
            <w:rStyle w:val="Lienhypertexte"/>
          </w:rPr>
          <w:t xml:space="preserve"> le P</w:t>
        </w:r>
        <w:r w:rsidR="00EC4F08" w:rsidRPr="00EC4F08">
          <w:rPr>
            <w:rStyle w:val="Lienhypertexte"/>
          </w:rPr>
          <w:t xml:space="preserve">lan </w:t>
        </w:r>
        <w:r w:rsidR="00546932">
          <w:rPr>
            <w:rStyle w:val="Lienhypertexte"/>
          </w:rPr>
          <w:t>d</w:t>
        </w:r>
        <w:r w:rsidR="00EC4F08" w:rsidRPr="00EC4F08">
          <w:rPr>
            <w:rStyle w:val="Lienhypertexte"/>
          </w:rPr>
          <w:t>'action</w:t>
        </w:r>
        <w:r w:rsidR="00546932">
          <w:rPr>
            <w:rStyle w:val="Lienhypertexte"/>
          </w:rPr>
          <w:t>s</w:t>
        </w:r>
        <w:r w:rsidR="00EC4F08" w:rsidRPr="00EC4F08">
          <w:rPr>
            <w:rStyle w:val="Lienhypertexte"/>
          </w:rPr>
          <w:t xml:space="preserve"> du PDE de l'OBVMR).</w:t>
        </w:r>
      </w:hyperlink>
      <w:r w:rsidRPr="003B7B62">
        <w:t xml:space="preserve"> </w:t>
      </w:r>
      <w:r w:rsidRPr="00D208FD">
        <w:t xml:space="preserve"> </w:t>
      </w:r>
      <w:r>
        <w:t xml:space="preserve">Avec les participants, il est </w:t>
      </w:r>
      <w:r w:rsidR="00546932">
        <w:t>convenu</w:t>
      </w:r>
      <w:r>
        <w:t xml:space="preserve"> de faire parvenir aux municipalités un appel à l</w:t>
      </w:r>
      <w:r w:rsidR="003B7B62">
        <w:t>’adhésion co</w:t>
      </w:r>
      <w:r w:rsidR="00D268C2">
        <w:t>llective de cette piste d’action et</w:t>
      </w:r>
      <w:r w:rsidR="003B7B62">
        <w:t xml:space="preserve"> ainsi </w:t>
      </w:r>
      <w:r w:rsidR="00D268C2">
        <w:t>passer</w:t>
      </w:r>
      <w:r w:rsidR="003B7B62">
        <w:t xml:space="preserve"> à une phase d’action </w:t>
      </w:r>
      <w:r w:rsidR="00D268C2">
        <w:t>basée</w:t>
      </w:r>
      <w:r w:rsidR="003B7B62">
        <w:t xml:space="preserve"> sur la force </w:t>
      </w:r>
      <w:r w:rsidR="00546932">
        <w:t>commune</w:t>
      </w:r>
      <w:r w:rsidR="003B7B62">
        <w:t xml:space="preserve"> du milieu. </w:t>
      </w:r>
      <w:r w:rsidR="00EC4F08">
        <w:t>D’un même pas, les municipalités doivent faire un plan d’action pour la</w:t>
      </w:r>
      <w:r w:rsidR="00D268C2">
        <w:t xml:space="preserve"> consommation responsable de l’e</w:t>
      </w:r>
      <w:r w:rsidR="00EC4F08">
        <w:t xml:space="preserve">au </w:t>
      </w:r>
      <w:r w:rsidR="00546932">
        <w:t>potable</w:t>
      </w:r>
      <w:r w:rsidR="00EC4F08">
        <w:t xml:space="preserve"> avec le </w:t>
      </w:r>
      <w:hyperlink r:id="rId10" w:history="1">
        <w:r w:rsidR="00EC4F08" w:rsidRPr="00EC4F08">
          <w:rPr>
            <w:rStyle w:val="Lienhypertexte"/>
          </w:rPr>
          <w:t>MAMROT</w:t>
        </w:r>
      </w:hyperlink>
      <w:r w:rsidR="00EC4F08">
        <w:t>.</w:t>
      </w:r>
    </w:p>
    <w:p w:rsidR="00E71AD1" w:rsidRDefault="00681175" w:rsidP="00B271A4">
      <w:pPr>
        <w:spacing w:after="0" w:line="360" w:lineRule="auto"/>
        <w:jc w:val="both"/>
      </w:pPr>
      <w:r>
        <w:t xml:space="preserve">La récupération de l’eau de pluie diminuera </w:t>
      </w:r>
      <w:r w:rsidR="00D268C2">
        <w:t>d’aut</w:t>
      </w:r>
      <w:r>
        <w:t xml:space="preserve">ant les eaux de ruissellement </w:t>
      </w:r>
      <w:r w:rsidR="00D268C2">
        <w:t xml:space="preserve">suite aux pluies abondantes que </w:t>
      </w:r>
      <w:r>
        <w:t>le coût des traitements des eaux potables et usées.</w:t>
      </w:r>
      <w:r w:rsidR="00B271A4">
        <w:t xml:space="preserve"> Un tel dispositif peut contenir </w:t>
      </w:r>
      <w:r w:rsidR="003B7B62">
        <w:t>jusqu’à</w:t>
      </w:r>
      <w:r w:rsidR="00B271A4">
        <w:t xml:space="preserve"> 200 litres d’eau, ce qui est suffisant pour satisfaire aux taches extérieures. Nos platebandes ne sont pas exigeantes au niveau du traitement de l’eau</w:t>
      </w:r>
      <w:r w:rsidR="003B7B62">
        <w:t xml:space="preserve">. Elle ne demande pas de </w:t>
      </w:r>
      <w:r w:rsidR="00D268C2">
        <w:t>traitement visant à diminuer la dureté</w:t>
      </w:r>
      <w:r w:rsidR="00D268C2" w:rsidRPr="00D268C2">
        <w:t xml:space="preserve"> </w:t>
      </w:r>
      <w:r w:rsidR="00D268C2">
        <w:t>ni d’être potable.</w:t>
      </w:r>
      <w:r w:rsidR="00546932">
        <w:t xml:space="preserve"> </w:t>
      </w:r>
      <w:r w:rsidR="00D268C2">
        <w:t>D</w:t>
      </w:r>
      <w:r w:rsidR="00546932">
        <w:t>'ailleurs</w:t>
      </w:r>
      <w:r w:rsidR="00D268C2">
        <w:t>,</w:t>
      </w:r>
      <w:r w:rsidR="00546932">
        <w:t xml:space="preserve"> </w:t>
      </w:r>
      <w:r w:rsidR="000169D3">
        <w:t>l’</w:t>
      </w:r>
      <w:r w:rsidR="003B7B62">
        <w:t xml:space="preserve">eau </w:t>
      </w:r>
      <w:r w:rsidR="00D268C2">
        <w:t>adoucit peut être</w:t>
      </w:r>
      <w:r w:rsidR="00546932">
        <w:t xml:space="preserve"> n</w:t>
      </w:r>
      <w:r w:rsidR="003B7B62">
        <w:t>ocive à la longue pour vos jardins à cause des sels</w:t>
      </w:r>
      <w:r w:rsidR="00EB6DDC">
        <w:t xml:space="preserve">. </w:t>
      </w:r>
      <w:r w:rsidR="00E71AD1">
        <w:t xml:space="preserve"> Dans notre région, l’usage des barils de récupération d’eau de pluie n’est pas très fréquent. Cela permettrait pourtant de réduire la </w:t>
      </w:r>
      <w:r w:rsidR="00E71AD1">
        <w:lastRenderedPageBreak/>
        <w:t>quantité d’eau de pluie qui est envoyé</w:t>
      </w:r>
      <w:r w:rsidR="00A377D3">
        <w:t>e</w:t>
      </w:r>
      <w:r w:rsidR="00E71AD1">
        <w:t xml:space="preserve"> vers les égouts</w:t>
      </w:r>
      <w:r w:rsidR="003B7B62">
        <w:t>, les surplus de pluie</w:t>
      </w:r>
      <w:r w:rsidR="00E71AD1">
        <w:t xml:space="preserve"> et qui, du coup, </w:t>
      </w:r>
      <w:r w:rsidR="00546932">
        <w:t>augmentent</w:t>
      </w:r>
      <w:r w:rsidR="00E71AD1">
        <w:t xml:space="preserve"> l’eau à traiter. </w:t>
      </w:r>
    </w:p>
    <w:p w:rsidR="00E71AD1" w:rsidRDefault="00E71AD1" w:rsidP="00B271A4">
      <w:pPr>
        <w:spacing w:after="0" w:line="360" w:lineRule="auto"/>
        <w:jc w:val="both"/>
      </w:pPr>
    </w:p>
    <w:p w:rsidR="008F7CC2" w:rsidRDefault="00E71AD1" w:rsidP="003C66B3">
      <w:pPr>
        <w:spacing w:after="0" w:line="360" w:lineRule="auto"/>
        <w:jc w:val="both"/>
      </w:pPr>
      <w:r>
        <w:t xml:space="preserve">Soyons écologiquement </w:t>
      </w:r>
      <w:r w:rsidR="00546932">
        <w:t>responsables</w:t>
      </w:r>
      <w:r w:rsidR="00570E8D">
        <w:t xml:space="preserve"> et préservons l’eau, ressource</w:t>
      </w:r>
      <w:r>
        <w:t xml:space="preserve"> inestimable de notre région.</w:t>
      </w:r>
    </w:p>
    <w:p w:rsidR="004B5279" w:rsidRDefault="004B5279" w:rsidP="004B5279">
      <w:pPr>
        <w:spacing w:line="360" w:lineRule="auto"/>
        <w:jc w:val="center"/>
      </w:pPr>
      <w:r>
        <w:t>-30-</w:t>
      </w:r>
    </w:p>
    <w:p w:rsidR="004B5279" w:rsidRDefault="008F7CC2" w:rsidP="00246FDD">
      <w:r>
        <w:t>Source : Francis Côté</w:t>
      </w:r>
    </w:p>
    <w:p w:rsidR="004B5279" w:rsidRDefault="008F7CC2" w:rsidP="00246FDD">
      <w:r>
        <w:t>Conseiller en environnement</w:t>
      </w:r>
    </w:p>
    <w:p w:rsidR="004B5279" w:rsidRDefault="004B5279" w:rsidP="00246FDD">
      <w:r>
        <w:t>Organisme de bassin versant Matapédia-Restigouche</w:t>
      </w:r>
    </w:p>
    <w:p w:rsidR="004B5279" w:rsidRDefault="004B5279" w:rsidP="00246FDD">
      <w:proofErr w:type="gramStart"/>
      <w:r>
        <w:t>418-756-6115 poste</w:t>
      </w:r>
      <w:proofErr w:type="gramEnd"/>
      <w:r>
        <w:t xml:space="preserve"> 7013</w:t>
      </w:r>
    </w:p>
    <w:p w:rsidR="00EB0751" w:rsidRPr="00EB0751" w:rsidRDefault="00673055" w:rsidP="00246FDD">
      <w:hyperlink r:id="rId11" w:history="1">
        <w:r w:rsidR="008F7CC2" w:rsidRPr="00A45CFC">
          <w:rPr>
            <w:rStyle w:val="Lienhypertexte"/>
          </w:rPr>
          <w:t>conseiller@matapediarestigouche.org</w:t>
        </w:r>
      </w:hyperlink>
      <w:r w:rsidR="004B5279">
        <w:t xml:space="preserve"> </w:t>
      </w:r>
    </w:p>
    <w:sectPr w:rsidR="00EB0751" w:rsidRPr="00EB0751" w:rsidSect="00F17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02" w:rsidRDefault="00A97502" w:rsidP="00D87CB2">
      <w:pPr>
        <w:spacing w:after="0" w:line="240" w:lineRule="auto"/>
      </w:pPr>
      <w:r>
        <w:separator/>
      </w:r>
    </w:p>
  </w:endnote>
  <w:endnote w:type="continuationSeparator" w:id="0">
    <w:p w:rsidR="00A97502" w:rsidRDefault="00A97502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02" w:rsidRDefault="00A97502" w:rsidP="00D87CB2">
      <w:pPr>
        <w:spacing w:after="0" w:line="240" w:lineRule="auto"/>
      </w:pPr>
      <w:r>
        <w:separator/>
      </w:r>
    </w:p>
  </w:footnote>
  <w:footnote w:type="continuationSeparator" w:id="0">
    <w:p w:rsidR="00A97502" w:rsidRDefault="00A97502" w:rsidP="00D8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32" w:rsidRDefault="005469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1F1"/>
    <w:multiLevelType w:val="hybridMultilevel"/>
    <w:tmpl w:val="CAE8D59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B3422"/>
    <w:rsid w:val="00005F53"/>
    <w:rsid w:val="000169D3"/>
    <w:rsid w:val="00054438"/>
    <w:rsid w:val="00063F5E"/>
    <w:rsid w:val="00092F2C"/>
    <w:rsid w:val="000B1B13"/>
    <w:rsid w:val="000B266A"/>
    <w:rsid w:val="000B6543"/>
    <w:rsid w:val="000E151B"/>
    <w:rsid w:val="001030BF"/>
    <w:rsid w:val="00107041"/>
    <w:rsid w:val="00107DF4"/>
    <w:rsid w:val="00133EAD"/>
    <w:rsid w:val="0013440D"/>
    <w:rsid w:val="00137154"/>
    <w:rsid w:val="001374B6"/>
    <w:rsid w:val="00143083"/>
    <w:rsid w:val="00144120"/>
    <w:rsid w:val="00161D27"/>
    <w:rsid w:val="00170DD3"/>
    <w:rsid w:val="00186EA7"/>
    <w:rsid w:val="00187C7A"/>
    <w:rsid w:val="001C7E52"/>
    <w:rsid w:val="001D1658"/>
    <w:rsid w:val="001D250E"/>
    <w:rsid w:val="001E4F0D"/>
    <w:rsid w:val="001F6C1F"/>
    <w:rsid w:val="00210029"/>
    <w:rsid w:val="00211987"/>
    <w:rsid w:val="00246FDD"/>
    <w:rsid w:val="002470F6"/>
    <w:rsid w:val="00262706"/>
    <w:rsid w:val="00267C7A"/>
    <w:rsid w:val="00275926"/>
    <w:rsid w:val="0028228A"/>
    <w:rsid w:val="002B7E6D"/>
    <w:rsid w:val="002D1D1B"/>
    <w:rsid w:val="00326F5B"/>
    <w:rsid w:val="0033449D"/>
    <w:rsid w:val="00370577"/>
    <w:rsid w:val="003A677A"/>
    <w:rsid w:val="003B1516"/>
    <w:rsid w:val="003B7B62"/>
    <w:rsid w:val="003C66B3"/>
    <w:rsid w:val="003D0A22"/>
    <w:rsid w:val="003D43F2"/>
    <w:rsid w:val="003F3271"/>
    <w:rsid w:val="0040594F"/>
    <w:rsid w:val="00406F78"/>
    <w:rsid w:val="00411BBE"/>
    <w:rsid w:val="00446D5C"/>
    <w:rsid w:val="004643EE"/>
    <w:rsid w:val="004648DD"/>
    <w:rsid w:val="0047377A"/>
    <w:rsid w:val="00474231"/>
    <w:rsid w:val="004A0128"/>
    <w:rsid w:val="004B5279"/>
    <w:rsid w:val="004C1466"/>
    <w:rsid w:val="004C1FB0"/>
    <w:rsid w:val="005326B2"/>
    <w:rsid w:val="00546932"/>
    <w:rsid w:val="0056550A"/>
    <w:rsid w:val="0056703D"/>
    <w:rsid w:val="00570E8D"/>
    <w:rsid w:val="00572C55"/>
    <w:rsid w:val="0058477D"/>
    <w:rsid w:val="005F55E9"/>
    <w:rsid w:val="006026A0"/>
    <w:rsid w:val="0060500F"/>
    <w:rsid w:val="00611401"/>
    <w:rsid w:val="006309D1"/>
    <w:rsid w:val="0063700F"/>
    <w:rsid w:val="00655CBC"/>
    <w:rsid w:val="00673055"/>
    <w:rsid w:val="00681175"/>
    <w:rsid w:val="006A1ABF"/>
    <w:rsid w:val="006A243F"/>
    <w:rsid w:val="006A3591"/>
    <w:rsid w:val="006A3A4B"/>
    <w:rsid w:val="006B3422"/>
    <w:rsid w:val="006B3E2D"/>
    <w:rsid w:val="006B74E3"/>
    <w:rsid w:val="006E213C"/>
    <w:rsid w:val="007021BD"/>
    <w:rsid w:val="007126D4"/>
    <w:rsid w:val="00732590"/>
    <w:rsid w:val="00741A17"/>
    <w:rsid w:val="00770545"/>
    <w:rsid w:val="007A2CC0"/>
    <w:rsid w:val="007B3EBA"/>
    <w:rsid w:val="007E4745"/>
    <w:rsid w:val="007F33FA"/>
    <w:rsid w:val="00814AAE"/>
    <w:rsid w:val="00815D6B"/>
    <w:rsid w:val="00820507"/>
    <w:rsid w:val="008378C0"/>
    <w:rsid w:val="008611BE"/>
    <w:rsid w:val="008C4493"/>
    <w:rsid w:val="008E6AF7"/>
    <w:rsid w:val="008F7CC2"/>
    <w:rsid w:val="00900D9D"/>
    <w:rsid w:val="00921CCE"/>
    <w:rsid w:val="00931A01"/>
    <w:rsid w:val="009471F3"/>
    <w:rsid w:val="00995443"/>
    <w:rsid w:val="009E2364"/>
    <w:rsid w:val="009F6A7C"/>
    <w:rsid w:val="00A0675C"/>
    <w:rsid w:val="00A230E5"/>
    <w:rsid w:val="00A33DF2"/>
    <w:rsid w:val="00A377D3"/>
    <w:rsid w:val="00A63B58"/>
    <w:rsid w:val="00A66AE7"/>
    <w:rsid w:val="00A73A6D"/>
    <w:rsid w:val="00A86828"/>
    <w:rsid w:val="00A90BFB"/>
    <w:rsid w:val="00A9306F"/>
    <w:rsid w:val="00A97502"/>
    <w:rsid w:val="00AA689C"/>
    <w:rsid w:val="00AA6D08"/>
    <w:rsid w:val="00AA742C"/>
    <w:rsid w:val="00AB65AA"/>
    <w:rsid w:val="00AC6BE7"/>
    <w:rsid w:val="00AC7364"/>
    <w:rsid w:val="00AD2937"/>
    <w:rsid w:val="00B271A4"/>
    <w:rsid w:val="00B43725"/>
    <w:rsid w:val="00B62481"/>
    <w:rsid w:val="00B810E7"/>
    <w:rsid w:val="00B84B2A"/>
    <w:rsid w:val="00B8509A"/>
    <w:rsid w:val="00BA1623"/>
    <w:rsid w:val="00BA741B"/>
    <w:rsid w:val="00BB6871"/>
    <w:rsid w:val="00BC3D6E"/>
    <w:rsid w:val="00BC45E8"/>
    <w:rsid w:val="00BC5B1C"/>
    <w:rsid w:val="00BD675B"/>
    <w:rsid w:val="00C44346"/>
    <w:rsid w:val="00C56361"/>
    <w:rsid w:val="00C77DD0"/>
    <w:rsid w:val="00C86C00"/>
    <w:rsid w:val="00C87C84"/>
    <w:rsid w:val="00CA6BC6"/>
    <w:rsid w:val="00CB5266"/>
    <w:rsid w:val="00CC79DA"/>
    <w:rsid w:val="00CD1692"/>
    <w:rsid w:val="00CF318E"/>
    <w:rsid w:val="00D05669"/>
    <w:rsid w:val="00D11305"/>
    <w:rsid w:val="00D15457"/>
    <w:rsid w:val="00D154CB"/>
    <w:rsid w:val="00D200CB"/>
    <w:rsid w:val="00D258F1"/>
    <w:rsid w:val="00D268C2"/>
    <w:rsid w:val="00D30402"/>
    <w:rsid w:val="00D37499"/>
    <w:rsid w:val="00D44234"/>
    <w:rsid w:val="00D4702E"/>
    <w:rsid w:val="00D52293"/>
    <w:rsid w:val="00D53D0D"/>
    <w:rsid w:val="00D8327C"/>
    <w:rsid w:val="00D87CB2"/>
    <w:rsid w:val="00D92545"/>
    <w:rsid w:val="00DA0600"/>
    <w:rsid w:val="00DA339F"/>
    <w:rsid w:val="00DC1B6F"/>
    <w:rsid w:val="00E057D9"/>
    <w:rsid w:val="00E15BDE"/>
    <w:rsid w:val="00E33C88"/>
    <w:rsid w:val="00E468CE"/>
    <w:rsid w:val="00E63776"/>
    <w:rsid w:val="00E65090"/>
    <w:rsid w:val="00E708BF"/>
    <w:rsid w:val="00E71AD1"/>
    <w:rsid w:val="00EB0751"/>
    <w:rsid w:val="00EB6DDC"/>
    <w:rsid w:val="00EC4F08"/>
    <w:rsid w:val="00EE6BC3"/>
    <w:rsid w:val="00EF15B8"/>
    <w:rsid w:val="00F06DE8"/>
    <w:rsid w:val="00F1769B"/>
    <w:rsid w:val="00F25662"/>
    <w:rsid w:val="00F30458"/>
    <w:rsid w:val="00F3164F"/>
    <w:rsid w:val="00F35A91"/>
    <w:rsid w:val="00F76978"/>
    <w:rsid w:val="00F7701C"/>
    <w:rsid w:val="00F87757"/>
    <w:rsid w:val="00FB609C"/>
    <w:rsid w:val="00FD3F4A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8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86E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8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7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4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41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045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325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C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C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CB2"/>
    <w:rPr>
      <w:vertAlign w:val="superscript"/>
    </w:rPr>
  </w:style>
  <w:style w:type="paragraph" w:customStyle="1" w:styleId="Index2">
    <w:name w:val="Index2"/>
    <w:basedOn w:val="Normal"/>
    <w:rsid w:val="00C77DD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0E7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546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932"/>
  </w:style>
  <w:style w:type="paragraph" w:styleId="Pieddepage">
    <w:name w:val="footer"/>
    <w:basedOn w:val="Normal"/>
    <w:link w:val="PieddepageCar"/>
    <w:uiPriority w:val="99"/>
    <w:semiHidden/>
    <w:unhideWhenUsed/>
    <w:rsid w:val="00546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eiller@matapediarestigouch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mrot.gouv.qc.ca/pub/grands_dossiers/strategie_eau/strategie_eau_potab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tapediarestigouche.org/p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4526-5CAB-4DD9-85B4-E023B64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Francis</cp:lastModifiedBy>
  <cp:revision>13</cp:revision>
  <cp:lastPrinted>2012-02-03T13:20:00Z</cp:lastPrinted>
  <dcterms:created xsi:type="dcterms:W3CDTF">2012-02-03T13:03:00Z</dcterms:created>
  <dcterms:modified xsi:type="dcterms:W3CDTF">2012-02-07T14:39:00Z</dcterms:modified>
</cp:coreProperties>
</file>