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22" w:rsidRDefault="006B3422"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-571500</wp:posOffset>
            </wp:positionV>
            <wp:extent cx="2474595" cy="942975"/>
            <wp:effectExtent l="19050" t="0" r="1905" b="0"/>
            <wp:wrapThrough wrapText="bothSides">
              <wp:wrapPolygon edited="0">
                <wp:start x="-166" y="0"/>
                <wp:lineTo x="-166" y="21382"/>
                <wp:lineTo x="21617" y="21382"/>
                <wp:lineTo x="21617" y="0"/>
                <wp:lineTo x="-166" y="0"/>
              </wp:wrapPolygon>
            </wp:wrapThrough>
            <wp:docPr id="1" name="Image 0" descr="logo OBVMR (Wor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BVMR (Word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459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3422" w:rsidRPr="006B3422" w:rsidRDefault="006B3422" w:rsidP="004B5279">
      <w:pPr>
        <w:jc w:val="center"/>
        <w:rPr>
          <w:sz w:val="32"/>
          <w:szCs w:val="32"/>
        </w:rPr>
      </w:pPr>
      <w:r w:rsidRPr="006B3422">
        <w:rPr>
          <w:sz w:val="32"/>
          <w:szCs w:val="32"/>
        </w:rPr>
        <w:t>Communiqué de presse</w:t>
      </w:r>
    </w:p>
    <w:p w:rsidR="000B6543" w:rsidRDefault="000B6543" w:rsidP="004B5279">
      <w:pPr>
        <w:jc w:val="right"/>
        <w:rPr>
          <w:b/>
        </w:rPr>
      </w:pPr>
    </w:p>
    <w:p w:rsidR="004B5279" w:rsidRDefault="004B5279" w:rsidP="004B5279">
      <w:pPr>
        <w:jc w:val="right"/>
        <w:rPr>
          <w:b/>
        </w:rPr>
      </w:pPr>
      <w:r>
        <w:rPr>
          <w:b/>
        </w:rPr>
        <w:t>Pour diffusion immédiate</w:t>
      </w:r>
    </w:p>
    <w:p w:rsidR="000B6543" w:rsidRDefault="00BC3D6E" w:rsidP="000B6543">
      <w:pPr>
        <w:spacing w:after="0" w:line="360" w:lineRule="auto"/>
        <w:jc w:val="center"/>
        <w:rPr>
          <w:b/>
        </w:rPr>
      </w:pPr>
      <w:r>
        <w:rPr>
          <w:b/>
        </w:rPr>
        <w:t xml:space="preserve">Une </w:t>
      </w:r>
      <w:r w:rsidR="004648DD">
        <w:rPr>
          <w:b/>
        </w:rPr>
        <w:t>table</w:t>
      </w:r>
      <w:r w:rsidR="00B03AE1">
        <w:rPr>
          <w:b/>
        </w:rPr>
        <w:t xml:space="preserve"> concertée sur l’</w:t>
      </w:r>
      <w:r>
        <w:rPr>
          <w:b/>
        </w:rPr>
        <w:t xml:space="preserve">exploitation </w:t>
      </w:r>
      <w:r w:rsidR="00B03AE1">
        <w:rPr>
          <w:b/>
        </w:rPr>
        <w:t xml:space="preserve">gazifière </w:t>
      </w:r>
      <w:r>
        <w:rPr>
          <w:b/>
        </w:rPr>
        <w:t>pétrolière et minière</w:t>
      </w:r>
    </w:p>
    <w:p w:rsidR="00655CBC" w:rsidRPr="000B6543" w:rsidRDefault="00655CBC" w:rsidP="000B6543">
      <w:pPr>
        <w:spacing w:after="0" w:line="360" w:lineRule="auto"/>
        <w:jc w:val="center"/>
        <w:rPr>
          <w:b/>
        </w:rPr>
      </w:pPr>
    </w:p>
    <w:p w:rsidR="007A2CC0" w:rsidRDefault="00275926" w:rsidP="007A2CC0">
      <w:pPr>
        <w:spacing w:after="0" w:line="360" w:lineRule="auto"/>
        <w:jc w:val="both"/>
      </w:pPr>
      <w:r>
        <w:rPr>
          <w:b/>
          <w:u w:val="single"/>
        </w:rPr>
        <w:t>Causapscal,</w:t>
      </w:r>
      <w:r w:rsidR="00054438">
        <w:rPr>
          <w:b/>
          <w:u w:val="single"/>
        </w:rPr>
        <w:t xml:space="preserve"> </w:t>
      </w:r>
      <w:r w:rsidR="00B7419A">
        <w:rPr>
          <w:b/>
          <w:u w:val="single"/>
        </w:rPr>
        <w:t>3 février</w:t>
      </w:r>
      <w:r w:rsidR="008F7CC2">
        <w:rPr>
          <w:b/>
          <w:u w:val="single"/>
        </w:rPr>
        <w:t xml:space="preserve"> 2012</w:t>
      </w:r>
      <w:r w:rsidR="006B3422">
        <w:t>-</w:t>
      </w:r>
      <w:r w:rsidR="00D87CB2">
        <w:t xml:space="preserve"> </w:t>
      </w:r>
      <w:r w:rsidR="00D154CB">
        <w:t xml:space="preserve"> </w:t>
      </w:r>
      <w:r w:rsidR="007A2CC0">
        <w:t>Le 25 janvier dernier, l’Organisme de bassin versant Matapédia-Restigouche organisait une table de concertation élargie au Centre de formation professionnelle en foresterie de l’Est-du-Québec</w:t>
      </w:r>
      <w:r w:rsidR="00BA1623">
        <w:t xml:space="preserve"> à Causapscal</w:t>
      </w:r>
      <w:r w:rsidR="007A2CC0">
        <w:t>.</w:t>
      </w:r>
      <w:r w:rsidR="00310EC9">
        <w:t xml:space="preserve"> </w:t>
      </w:r>
      <w:r w:rsidR="00B03AE1">
        <w:t>Lors de cette journée, les secteurs faunique, agricole, municipal et</w:t>
      </w:r>
      <w:r w:rsidR="007A2CC0">
        <w:t xml:space="preserve"> environnement</w:t>
      </w:r>
      <w:r w:rsidR="00B03AE1">
        <w:t xml:space="preserve"> se sont concertés et</w:t>
      </w:r>
      <w:r w:rsidR="00FE33DE">
        <w:t xml:space="preserve"> ont assisté</w:t>
      </w:r>
      <w:r w:rsidR="007A2CC0">
        <w:t xml:space="preserve"> à diverses présentation</w:t>
      </w:r>
      <w:r w:rsidR="00B03AE1">
        <w:t>s sur</w:t>
      </w:r>
      <w:r w:rsidR="00BC3D6E">
        <w:t xml:space="preserve"> le</w:t>
      </w:r>
      <w:r w:rsidR="001F6C1F">
        <w:t xml:space="preserve"> gaz de s</w:t>
      </w:r>
      <w:r w:rsidR="007A2CC0">
        <w:t>hale et l’exploitation</w:t>
      </w:r>
      <w:r w:rsidR="00BA1623">
        <w:t xml:space="preserve"> pétrolière et</w:t>
      </w:r>
      <w:r w:rsidR="007A2CC0">
        <w:t xml:space="preserve"> minière. </w:t>
      </w:r>
    </w:p>
    <w:p w:rsidR="005558DC" w:rsidRDefault="005558DC" w:rsidP="007A2CC0">
      <w:pPr>
        <w:spacing w:after="0" w:line="360" w:lineRule="auto"/>
        <w:jc w:val="both"/>
      </w:pPr>
    </w:p>
    <w:p w:rsidR="00310EC9" w:rsidRDefault="00B03AE1" w:rsidP="007A2CC0">
      <w:pPr>
        <w:spacing w:after="0" w:line="360" w:lineRule="auto"/>
        <w:jc w:val="both"/>
      </w:pPr>
      <w:r>
        <w:t>Au terme de cette journée, il a été discuté des risques environnementaux de l’exploitation pétrolière. Dans le bassin versant, et dans la Gaspésie, les connaissanc</w:t>
      </w:r>
      <w:r w:rsidR="00310EC9">
        <w:t>es de la nappe phréatique sont inexistantes. Par conséquent, i</w:t>
      </w:r>
      <w:r>
        <w:t xml:space="preserve">l </w:t>
      </w:r>
      <w:r w:rsidR="00310EC9">
        <w:t>serait</w:t>
      </w:r>
      <w:r>
        <w:t xml:space="preserve"> difficile d</w:t>
      </w:r>
      <w:r w:rsidR="00310EC9">
        <w:t>’évaluer les conséquences</w:t>
      </w:r>
      <w:r>
        <w:t xml:space="preserve"> de l’exploitation pétrolière sur notre eau souterraine. </w:t>
      </w:r>
      <w:r w:rsidR="00310EC9">
        <w:t>D</w:t>
      </w:r>
      <w:r w:rsidR="00041CA6">
        <w:t xml:space="preserve">epuis le début des années 2000, l’exploration et l’exploitation minière </w:t>
      </w:r>
      <w:r w:rsidR="00DF6870">
        <w:t>sont</w:t>
      </w:r>
      <w:r w:rsidR="00041CA6">
        <w:t xml:space="preserve"> à la hausse. En Gaspésie, il y a 10 à 20 projets d’exploration par année. Cependant, aucune exploi</w:t>
      </w:r>
      <w:r w:rsidR="00FE33DE">
        <w:t xml:space="preserve">tation s’y fait, à l’exception </w:t>
      </w:r>
      <w:r w:rsidR="00041CA6">
        <w:t>des carrières et tourbières.</w:t>
      </w:r>
      <w:r w:rsidR="00887C28" w:rsidRPr="00887C28">
        <w:t xml:space="preserve"> </w:t>
      </w:r>
      <w:r w:rsidR="00310EC9">
        <w:t>Dans le bassin versant, il y a présentement 5</w:t>
      </w:r>
      <w:r w:rsidR="00887C28">
        <w:t xml:space="preserve"> </w:t>
      </w:r>
      <w:r w:rsidR="00310EC9">
        <w:t xml:space="preserve">claims </w:t>
      </w:r>
      <w:r w:rsidR="00887C28">
        <w:t>miniers</w:t>
      </w:r>
      <w:r w:rsidR="00ED723A">
        <w:t>,</w:t>
      </w:r>
      <w:r w:rsidR="00310EC9">
        <w:t xml:space="preserve"> toutefois les claims d’exploration pour des activités gazières et pétrolières couvrent la superficie du bassin</w:t>
      </w:r>
      <w:r w:rsidR="00887C28">
        <w:t>.</w:t>
      </w:r>
      <w:r w:rsidR="00310EC9">
        <w:t xml:space="preserve">  </w:t>
      </w:r>
      <w:r w:rsidR="00ED723A">
        <w:t>Selon nos conférenciers invités, l</w:t>
      </w:r>
      <w:r w:rsidR="00310EC9">
        <w:t>a révision de la loi 14 couvre seulement les activités minières et plusieurs manque</w:t>
      </w:r>
      <w:r w:rsidR="00ED723A">
        <w:t xml:space="preserve">s </w:t>
      </w:r>
      <w:r w:rsidR="00310EC9">
        <w:t>resteront irrésolus si déposé</w:t>
      </w:r>
      <w:r w:rsidR="00ED723A">
        <w:t xml:space="preserve"> sans modification, citons par exemple le droit d’exproprier les citoyens.</w:t>
      </w:r>
    </w:p>
    <w:p w:rsidR="00310EC9" w:rsidRDefault="00310EC9" w:rsidP="007A2CC0">
      <w:pPr>
        <w:spacing w:after="0" w:line="360" w:lineRule="auto"/>
        <w:jc w:val="both"/>
      </w:pPr>
    </w:p>
    <w:p w:rsidR="00041CA6" w:rsidRDefault="00041CA6" w:rsidP="007A2CC0">
      <w:pPr>
        <w:spacing w:after="0" w:line="360" w:lineRule="auto"/>
        <w:jc w:val="both"/>
      </w:pPr>
      <w:r>
        <w:t xml:space="preserve"> Au printemps de cette année, la </w:t>
      </w:r>
      <w:r w:rsidR="00DF6870">
        <w:t>l</w:t>
      </w:r>
      <w:r>
        <w:t>oi 14</w:t>
      </w:r>
      <w:r w:rsidR="00310EC9">
        <w:t xml:space="preserve"> sur les mines demande</w:t>
      </w:r>
      <w:r>
        <w:t>ra la délimitation des périmètres</w:t>
      </w:r>
      <w:r w:rsidR="00310EC9">
        <w:t xml:space="preserve"> d’exclusion d’activité minière pour</w:t>
      </w:r>
      <w:r>
        <w:t xml:space="preserve"> chaque municipalité. Ces zones seront en lien avec l’affectation du territoire du schéma d’aménagement des MRC. </w:t>
      </w:r>
    </w:p>
    <w:p w:rsidR="005558DC" w:rsidRDefault="005558DC" w:rsidP="007A2CC0">
      <w:pPr>
        <w:spacing w:after="0" w:line="360" w:lineRule="auto"/>
        <w:jc w:val="both"/>
      </w:pPr>
    </w:p>
    <w:p w:rsidR="00041CA6" w:rsidRDefault="00887C28" w:rsidP="007A2CC0">
      <w:pPr>
        <w:spacing w:after="0" w:line="360" w:lineRule="auto"/>
        <w:jc w:val="both"/>
      </w:pPr>
      <w:r>
        <w:t>Plusieurs préoccupations demeurent au sein de la population, mais grâce aux différentes conférences qui ont eu lieu durant cette journée, davantage d’information a été présenté</w:t>
      </w:r>
      <w:r w:rsidR="00E12DBF">
        <w:t>e</w:t>
      </w:r>
      <w:r>
        <w:t xml:space="preserve"> et permet une meilleure compréhension de la </w:t>
      </w:r>
      <w:r w:rsidR="00310EC9">
        <w:t>réalité et des cadres législatifs qui entourent les activités minières, pétrolière et gazière</w:t>
      </w:r>
      <w:r>
        <w:t xml:space="preserve">. </w:t>
      </w:r>
      <w:r w:rsidR="006550B8">
        <w:t xml:space="preserve"> Nous remercions nos conférenciers qui ont do</w:t>
      </w:r>
      <w:r w:rsidR="00ED723A">
        <w:t xml:space="preserve">nné </w:t>
      </w:r>
      <w:r w:rsidR="00ED723A">
        <w:lastRenderedPageBreak/>
        <w:t xml:space="preserve">gracieusement de leur temps soit René Lefebvre (INRS), Ugo Lapointe (Pour que le Québec ait meilleure mine!) et Amandine Chapelle (CREGIM). </w:t>
      </w:r>
    </w:p>
    <w:p w:rsidR="00887C28" w:rsidRDefault="00887C28" w:rsidP="007A2CC0">
      <w:pPr>
        <w:spacing w:after="0" w:line="360" w:lineRule="auto"/>
        <w:jc w:val="both"/>
      </w:pPr>
    </w:p>
    <w:p w:rsidR="008F7CC2" w:rsidRDefault="00887C28" w:rsidP="003C66B3">
      <w:pPr>
        <w:spacing w:after="0" w:line="360" w:lineRule="auto"/>
        <w:jc w:val="both"/>
      </w:pPr>
      <w:r>
        <w:t xml:space="preserve">Si vous désirez consulter les documents qui ont été partagés lors de la table de concertation élargie, vous pouvez vous rendre sur le site Internet de l’OBVMR pour les consulter. </w:t>
      </w:r>
    </w:p>
    <w:p w:rsidR="004B5279" w:rsidRDefault="004B5279" w:rsidP="004B5279">
      <w:pPr>
        <w:spacing w:line="360" w:lineRule="auto"/>
        <w:jc w:val="center"/>
      </w:pPr>
      <w:r>
        <w:t>-30-</w:t>
      </w:r>
    </w:p>
    <w:p w:rsidR="004B5279" w:rsidRDefault="008F7CC2" w:rsidP="00246FDD">
      <w:r>
        <w:t>Source : Francis Côté</w:t>
      </w:r>
    </w:p>
    <w:p w:rsidR="004B5279" w:rsidRDefault="008F7CC2" w:rsidP="00246FDD">
      <w:r>
        <w:t>Conseiller en environnement</w:t>
      </w:r>
    </w:p>
    <w:p w:rsidR="004B5279" w:rsidRDefault="004B5279" w:rsidP="00246FDD">
      <w:r>
        <w:t>Organisme de bassin versant Matapédia-Restigouche</w:t>
      </w:r>
    </w:p>
    <w:p w:rsidR="004B5279" w:rsidRDefault="004B5279" w:rsidP="00246FDD">
      <w:proofErr w:type="gramStart"/>
      <w:r>
        <w:t>418-756-6115 poste</w:t>
      </w:r>
      <w:proofErr w:type="gramEnd"/>
      <w:r>
        <w:t xml:space="preserve"> 7013</w:t>
      </w:r>
    </w:p>
    <w:p w:rsidR="00EB0751" w:rsidRPr="00EB0751" w:rsidRDefault="00000E8C" w:rsidP="00246FDD">
      <w:hyperlink r:id="rId9" w:history="1">
        <w:r w:rsidR="008F7CC2" w:rsidRPr="00A45CFC">
          <w:rPr>
            <w:rStyle w:val="Lienhypertexte"/>
          </w:rPr>
          <w:t>conseiller@matapediarestigouche.org</w:t>
        </w:r>
      </w:hyperlink>
      <w:r w:rsidR="004B5279">
        <w:t xml:space="preserve"> </w:t>
      </w:r>
    </w:p>
    <w:sectPr w:rsidR="00EB0751" w:rsidRPr="00EB0751" w:rsidSect="00F176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C93" w:rsidRDefault="003C0C93" w:rsidP="00D87CB2">
      <w:pPr>
        <w:spacing w:after="0" w:line="240" w:lineRule="auto"/>
      </w:pPr>
      <w:r>
        <w:separator/>
      </w:r>
    </w:p>
  </w:endnote>
  <w:endnote w:type="continuationSeparator" w:id="0">
    <w:p w:rsidR="003C0C93" w:rsidRDefault="003C0C93" w:rsidP="00D8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C93" w:rsidRDefault="003C0C93" w:rsidP="00D87CB2">
      <w:pPr>
        <w:spacing w:after="0" w:line="240" w:lineRule="auto"/>
      </w:pPr>
      <w:r>
        <w:separator/>
      </w:r>
    </w:p>
  </w:footnote>
  <w:footnote w:type="continuationSeparator" w:id="0">
    <w:p w:rsidR="003C0C93" w:rsidRDefault="003C0C93" w:rsidP="00D87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751F1"/>
    <w:multiLevelType w:val="hybridMultilevel"/>
    <w:tmpl w:val="CAE8D592"/>
    <w:lvl w:ilvl="0" w:tplc="0C0C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422"/>
    <w:rsid w:val="00000E8C"/>
    <w:rsid w:val="00005F53"/>
    <w:rsid w:val="00041CA6"/>
    <w:rsid w:val="00054438"/>
    <w:rsid w:val="00063F5E"/>
    <w:rsid w:val="00092F2C"/>
    <w:rsid w:val="000B1B13"/>
    <w:rsid w:val="000B266A"/>
    <w:rsid w:val="000B6543"/>
    <w:rsid w:val="000E3581"/>
    <w:rsid w:val="001030BF"/>
    <w:rsid w:val="00107041"/>
    <w:rsid w:val="00107DF4"/>
    <w:rsid w:val="00110858"/>
    <w:rsid w:val="00133EAD"/>
    <w:rsid w:val="0013440D"/>
    <w:rsid w:val="00137154"/>
    <w:rsid w:val="00143083"/>
    <w:rsid w:val="00144120"/>
    <w:rsid w:val="00161D27"/>
    <w:rsid w:val="00170DD3"/>
    <w:rsid w:val="00186EA7"/>
    <w:rsid w:val="00187C7A"/>
    <w:rsid w:val="001D250E"/>
    <w:rsid w:val="001E4F0D"/>
    <w:rsid w:val="001F6C1F"/>
    <w:rsid w:val="00210029"/>
    <w:rsid w:val="00211987"/>
    <w:rsid w:val="00214DEF"/>
    <w:rsid w:val="00246FDD"/>
    <w:rsid w:val="002470F6"/>
    <w:rsid w:val="00262706"/>
    <w:rsid w:val="00275926"/>
    <w:rsid w:val="0028228A"/>
    <w:rsid w:val="002B7E6D"/>
    <w:rsid w:val="002D1D1B"/>
    <w:rsid w:val="00310EC9"/>
    <w:rsid w:val="00326F5B"/>
    <w:rsid w:val="0033449D"/>
    <w:rsid w:val="00370577"/>
    <w:rsid w:val="003A677A"/>
    <w:rsid w:val="003B1516"/>
    <w:rsid w:val="003C0C93"/>
    <w:rsid w:val="003C66B3"/>
    <w:rsid w:val="003D0A22"/>
    <w:rsid w:val="003D43F2"/>
    <w:rsid w:val="003F3271"/>
    <w:rsid w:val="0040594F"/>
    <w:rsid w:val="00406F78"/>
    <w:rsid w:val="00411BBE"/>
    <w:rsid w:val="00446D5C"/>
    <w:rsid w:val="004643EE"/>
    <w:rsid w:val="004648DD"/>
    <w:rsid w:val="0047377A"/>
    <w:rsid w:val="00474231"/>
    <w:rsid w:val="004A0128"/>
    <w:rsid w:val="004B5279"/>
    <w:rsid w:val="004C1466"/>
    <w:rsid w:val="004C1FB0"/>
    <w:rsid w:val="005326B2"/>
    <w:rsid w:val="005558DC"/>
    <w:rsid w:val="0056550A"/>
    <w:rsid w:val="0056703D"/>
    <w:rsid w:val="00572C55"/>
    <w:rsid w:val="0058477D"/>
    <w:rsid w:val="005A150B"/>
    <w:rsid w:val="005F55E9"/>
    <w:rsid w:val="006026A0"/>
    <w:rsid w:val="0060500F"/>
    <w:rsid w:val="00611401"/>
    <w:rsid w:val="006309D1"/>
    <w:rsid w:val="0063700F"/>
    <w:rsid w:val="006550B8"/>
    <w:rsid w:val="00655CBC"/>
    <w:rsid w:val="006A1ABF"/>
    <w:rsid w:val="006A243F"/>
    <w:rsid w:val="006A3591"/>
    <w:rsid w:val="006A3A4B"/>
    <w:rsid w:val="006B3422"/>
    <w:rsid w:val="006B3E2D"/>
    <w:rsid w:val="006B74E3"/>
    <w:rsid w:val="006E213C"/>
    <w:rsid w:val="007021BD"/>
    <w:rsid w:val="007126D4"/>
    <w:rsid w:val="00732590"/>
    <w:rsid w:val="00741A17"/>
    <w:rsid w:val="00770545"/>
    <w:rsid w:val="007A2CC0"/>
    <w:rsid w:val="007B3EBA"/>
    <w:rsid w:val="007E4745"/>
    <w:rsid w:val="007F33FA"/>
    <w:rsid w:val="00814AAE"/>
    <w:rsid w:val="00815D6B"/>
    <w:rsid w:val="008378C0"/>
    <w:rsid w:val="00887C28"/>
    <w:rsid w:val="008E6AF7"/>
    <w:rsid w:val="008F7CC2"/>
    <w:rsid w:val="00900D9D"/>
    <w:rsid w:val="00921CCE"/>
    <w:rsid w:val="00931A01"/>
    <w:rsid w:val="009471F3"/>
    <w:rsid w:val="009E2364"/>
    <w:rsid w:val="009F6A7C"/>
    <w:rsid w:val="00A0675C"/>
    <w:rsid w:val="00A230E5"/>
    <w:rsid w:val="00A33DF2"/>
    <w:rsid w:val="00A63B58"/>
    <w:rsid w:val="00A66AE7"/>
    <w:rsid w:val="00A73A6D"/>
    <w:rsid w:val="00A86828"/>
    <w:rsid w:val="00A90BFB"/>
    <w:rsid w:val="00A9306F"/>
    <w:rsid w:val="00AA689C"/>
    <w:rsid w:val="00AA6D08"/>
    <w:rsid w:val="00AA742C"/>
    <w:rsid w:val="00AB65AA"/>
    <w:rsid w:val="00AC6BE7"/>
    <w:rsid w:val="00AC7364"/>
    <w:rsid w:val="00AD2937"/>
    <w:rsid w:val="00B03AE1"/>
    <w:rsid w:val="00B43725"/>
    <w:rsid w:val="00B62481"/>
    <w:rsid w:val="00B7419A"/>
    <w:rsid w:val="00B810E7"/>
    <w:rsid w:val="00B84B2A"/>
    <w:rsid w:val="00BA1623"/>
    <w:rsid w:val="00BA741B"/>
    <w:rsid w:val="00BB6871"/>
    <w:rsid w:val="00BC3D6E"/>
    <w:rsid w:val="00BC45E8"/>
    <w:rsid w:val="00BC5B1C"/>
    <w:rsid w:val="00BD675B"/>
    <w:rsid w:val="00C44346"/>
    <w:rsid w:val="00C56361"/>
    <w:rsid w:val="00C77DD0"/>
    <w:rsid w:val="00C86C00"/>
    <w:rsid w:val="00C87C84"/>
    <w:rsid w:val="00CA6BC6"/>
    <w:rsid w:val="00CB5266"/>
    <w:rsid w:val="00CC79DA"/>
    <w:rsid w:val="00CD1692"/>
    <w:rsid w:val="00CF318E"/>
    <w:rsid w:val="00D05669"/>
    <w:rsid w:val="00D11305"/>
    <w:rsid w:val="00D15457"/>
    <w:rsid w:val="00D154CB"/>
    <w:rsid w:val="00D200CB"/>
    <w:rsid w:val="00D258F1"/>
    <w:rsid w:val="00D30402"/>
    <w:rsid w:val="00D37499"/>
    <w:rsid w:val="00D44234"/>
    <w:rsid w:val="00D4702E"/>
    <w:rsid w:val="00D52293"/>
    <w:rsid w:val="00D53D0D"/>
    <w:rsid w:val="00D66719"/>
    <w:rsid w:val="00D8327C"/>
    <w:rsid w:val="00D87CB2"/>
    <w:rsid w:val="00D92545"/>
    <w:rsid w:val="00DA339F"/>
    <w:rsid w:val="00DC1B6F"/>
    <w:rsid w:val="00DF6870"/>
    <w:rsid w:val="00E057D9"/>
    <w:rsid w:val="00E12DBF"/>
    <w:rsid w:val="00E15BDE"/>
    <w:rsid w:val="00E33C88"/>
    <w:rsid w:val="00E468CE"/>
    <w:rsid w:val="00E63776"/>
    <w:rsid w:val="00E65090"/>
    <w:rsid w:val="00E708BF"/>
    <w:rsid w:val="00E97252"/>
    <w:rsid w:val="00EB0751"/>
    <w:rsid w:val="00ED723A"/>
    <w:rsid w:val="00EE6BC3"/>
    <w:rsid w:val="00EF15B8"/>
    <w:rsid w:val="00F06DE8"/>
    <w:rsid w:val="00F1769B"/>
    <w:rsid w:val="00F25662"/>
    <w:rsid w:val="00F30458"/>
    <w:rsid w:val="00F3164F"/>
    <w:rsid w:val="00F35A91"/>
    <w:rsid w:val="00F76978"/>
    <w:rsid w:val="00F87757"/>
    <w:rsid w:val="00FB609C"/>
    <w:rsid w:val="00FD3F4A"/>
    <w:rsid w:val="00FE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69B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B07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186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42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B527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186EA7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18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A74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741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741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74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741B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F30458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B07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732590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87CB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87CB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87CB2"/>
    <w:rPr>
      <w:vertAlign w:val="superscript"/>
    </w:rPr>
  </w:style>
  <w:style w:type="paragraph" w:customStyle="1" w:styleId="Index2">
    <w:name w:val="Index2"/>
    <w:basedOn w:val="Normal"/>
    <w:rsid w:val="00C77DD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810E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seiller@matapediarestigouch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DCC60-F508-4AFC-B134-772D79FD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Poste2</dc:creator>
  <cp:lastModifiedBy>Francis</cp:lastModifiedBy>
  <cp:revision>15</cp:revision>
  <cp:lastPrinted>2012-02-03T14:50:00Z</cp:lastPrinted>
  <dcterms:created xsi:type="dcterms:W3CDTF">2012-01-26T14:57:00Z</dcterms:created>
  <dcterms:modified xsi:type="dcterms:W3CDTF">2012-02-07T14:47:00Z</dcterms:modified>
</cp:coreProperties>
</file>