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2" w:rsidRPr="006B3422" w:rsidRDefault="006B3422" w:rsidP="008F6B98">
      <w:pPr>
        <w:rPr>
          <w:sz w:val="32"/>
          <w:szCs w:val="32"/>
        </w:rPr>
      </w:pPr>
      <w:r>
        <w:rPr>
          <w:noProof/>
          <w:lang w:eastAsia="fr-C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-571500</wp:posOffset>
            </wp:positionV>
            <wp:extent cx="2209800" cy="842010"/>
            <wp:effectExtent l="19050" t="0" r="0" b="0"/>
            <wp:wrapThrough wrapText="bothSides">
              <wp:wrapPolygon edited="0">
                <wp:start x="-186" y="0"/>
                <wp:lineTo x="-186" y="21014"/>
                <wp:lineTo x="21600" y="21014"/>
                <wp:lineTo x="21600" y="0"/>
                <wp:lineTo x="-186" y="0"/>
              </wp:wrapPolygon>
            </wp:wrapThrough>
            <wp:docPr id="1" name="Image 0" descr="logo OBVM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VMR (Word).png"/>
                    <pic:cNvPicPr/>
                  </pic:nvPicPr>
                  <pic:blipFill>
                    <a:blip r:embed="rId8" cstate="print"/>
                    <a:stretch>
                      <a:fillRect/>
                    </a:stretch>
                  </pic:blipFill>
                  <pic:spPr>
                    <a:xfrm>
                      <a:off x="0" y="0"/>
                      <a:ext cx="2209800" cy="842010"/>
                    </a:xfrm>
                    <a:prstGeom prst="rect">
                      <a:avLst/>
                    </a:prstGeom>
                  </pic:spPr>
                </pic:pic>
              </a:graphicData>
            </a:graphic>
          </wp:anchor>
        </w:drawing>
      </w:r>
      <w:r w:rsidRPr="006B3422">
        <w:rPr>
          <w:sz w:val="32"/>
          <w:szCs w:val="32"/>
        </w:rPr>
        <w:t>Communiqué de presse</w:t>
      </w:r>
    </w:p>
    <w:p w:rsidR="004B5279" w:rsidRDefault="004B5279" w:rsidP="004B5279">
      <w:pPr>
        <w:jc w:val="right"/>
        <w:rPr>
          <w:b/>
        </w:rPr>
      </w:pPr>
      <w:r>
        <w:rPr>
          <w:b/>
        </w:rPr>
        <w:t>Pour diffusion immédiate</w:t>
      </w:r>
    </w:p>
    <w:p w:rsidR="00D557CE" w:rsidRDefault="00D557CE" w:rsidP="004B5279">
      <w:pPr>
        <w:jc w:val="right"/>
        <w:rPr>
          <w:b/>
        </w:rPr>
      </w:pPr>
    </w:p>
    <w:p w:rsidR="000B6543" w:rsidRPr="00D557CE" w:rsidRDefault="00FD42AE" w:rsidP="000B6543">
      <w:pPr>
        <w:spacing w:after="0" w:line="360" w:lineRule="auto"/>
        <w:jc w:val="center"/>
        <w:rPr>
          <w:b/>
          <w:sz w:val="24"/>
          <w:szCs w:val="24"/>
        </w:rPr>
      </w:pPr>
      <w:r w:rsidRPr="00D557CE">
        <w:rPr>
          <w:b/>
          <w:sz w:val="24"/>
          <w:szCs w:val="24"/>
        </w:rPr>
        <w:t>Le milieu agricole se mobilise dans la vallée</w:t>
      </w:r>
    </w:p>
    <w:p w:rsidR="00655CBC" w:rsidRPr="000B6543" w:rsidRDefault="00655CBC" w:rsidP="000B6543">
      <w:pPr>
        <w:spacing w:after="0" w:line="360" w:lineRule="auto"/>
        <w:jc w:val="center"/>
        <w:rPr>
          <w:b/>
        </w:rPr>
      </w:pPr>
    </w:p>
    <w:p w:rsidR="00E67FD6" w:rsidRDefault="00275926" w:rsidP="003C66B3">
      <w:pPr>
        <w:spacing w:after="0" w:line="360" w:lineRule="auto"/>
        <w:jc w:val="both"/>
      </w:pPr>
      <w:proofErr w:type="spellStart"/>
      <w:r>
        <w:rPr>
          <w:b/>
          <w:u w:val="single"/>
        </w:rPr>
        <w:t>Causapscal</w:t>
      </w:r>
      <w:proofErr w:type="spellEnd"/>
      <w:r>
        <w:rPr>
          <w:b/>
          <w:u w:val="single"/>
        </w:rPr>
        <w:t>,</w:t>
      </w:r>
      <w:r w:rsidR="00054438">
        <w:rPr>
          <w:b/>
          <w:u w:val="single"/>
        </w:rPr>
        <w:t xml:space="preserve"> </w:t>
      </w:r>
      <w:r w:rsidR="0083796F">
        <w:rPr>
          <w:b/>
          <w:u w:val="single"/>
        </w:rPr>
        <w:t>7</w:t>
      </w:r>
      <w:r w:rsidR="006B7F5A">
        <w:rPr>
          <w:b/>
          <w:u w:val="single"/>
        </w:rPr>
        <w:t xml:space="preserve"> février 2012</w:t>
      </w:r>
      <w:r w:rsidR="006B3422">
        <w:t>-</w:t>
      </w:r>
      <w:r w:rsidR="00D87CB2">
        <w:t xml:space="preserve"> </w:t>
      </w:r>
      <w:r w:rsidR="00D154CB">
        <w:t xml:space="preserve"> </w:t>
      </w:r>
      <w:r w:rsidR="00D8327C">
        <w:t xml:space="preserve">Le </w:t>
      </w:r>
      <w:r w:rsidR="00126A89">
        <w:t>27</w:t>
      </w:r>
      <w:r w:rsidR="008F7CC2">
        <w:t xml:space="preserve"> janvier dernier, </w:t>
      </w:r>
      <w:r w:rsidR="00126A89">
        <w:t xml:space="preserve">une rencontre collective d’échanges et d’informations a été proposée </w:t>
      </w:r>
      <w:r w:rsidR="006128DF">
        <w:t xml:space="preserve">par l’Organisme de bassin versant Matapédia-Restigouche et l’Union des producteurs agricoles du Bas-Saint-Laurent </w:t>
      </w:r>
      <w:r w:rsidR="00126A89">
        <w:t>aux producteurs agricoles du bassin versant du sud du lac Matapédia dans le cadre du projet de gestion intégrée de l’</w:t>
      </w:r>
      <w:r w:rsidR="006B7EF9">
        <w:t xml:space="preserve">eau en milieu agricole. </w:t>
      </w:r>
      <w:r w:rsidR="006128DF">
        <w:t xml:space="preserve">11 productrices et producteurs agricoles </w:t>
      </w:r>
      <w:r w:rsidR="00FD42AE">
        <w:t>étaient présents</w:t>
      </w:r>
      <w:r w:rsidR="006128DF">
        <w:t xml:space="preserve"> à ce rendez-vous</w:t>
      </w:r>
      <w:r w:rsidR="00FD42AE">
        <w:t xml:space="preserve">. </w:t>
      </w:r>
    </w:p>
    <w:p w:rsidR="00FD42AE" w:rsidRDefault="00FD42AE" w:rsidP="003C66B3">
      <w:pPr>
        <w:spacing w:after="0" w:line="360" w:lineRule="auto"/>
        <w:jc w:val="both"/>
      </w:pPr>
    </w:p>
    <w:p w:rsidR="00E67FD6" w:rsidRDefault="00E67FD6" w:rsidP="003C66B3">
      <w:pPr>
        <w:spacing w:after="0" w:line="360" w:lineRule="auto"/>
        <w:jc w:val="both"/>
      </w:pPr>
      <w:r>
        <w:t xml:space="preserve">Cette rencontre a permis </w:t>
      </w:r>
      <w:r w:rsidR="00C14011">
        <w:t xml:space="preserve">aux </w:t>
      </w:r>
      <w:r>
        <w:t xml:space="preserve">producteurs agricoles présents et </w:t>
      </w:r>
      <w:r w:rsidR="0083796F">
        <w:t>aux</w:t>
      </w:r>
      <w:r>
        <w:t xml:space="preserve"> </w:t>
      </w:r>
      <w:r w:rsidR="006128DF">
        <w:t xml:space="preserve">différents </w:t>
      </w:r>
      <w:r>
        <w:t xml:space="preserve">partenaires </w:t>
      </w:r>
      <w:r w:rsidR="0083796F">
        <w:t xml:space="preserve">d’échanger </w:t>
      </w:r>
      <w:r w:rsidR="003E63F3">
        <w:t>autour d’un diner offert par l’OBVMR. Nous avons ainsi pu discuter des</w:t>
      </w:r>
      <w:r>
        <w:t xml:space="preserve"> particularités du territoire du projet, </w:t>
      </w:r>
      <w:r w:rsidR="003E63F3">
        <w:t>de</w:t>
      </w:r>
      <w:r>
        <w:t xml:space="preserve"> la transformation des cours d’eau et de leurs habitats au fil des années mais également </w:t>
      </w:r>
      <w:r w:rsidR="003E63F3">
        <w:t>de</w:t>
      </w:r>
      <w:r>
        <w:t xml:space="preserve"> l’intérêt d’une approche collective du milieu agricole pour maintenir une bonne qualité de l’eau et des écosystèmes aquatiques. Cette </w:t>
      </w:r>
      <w:r w:rsidR="00FD42AE">
        <w:t>réunion</w:t>
      </w:r>
      <w:r>
        <w:t xml:space="preserve"> a également été </w:t>
      </w:r>
      <w:r w:rsidR="006128DF">
        <w:t>l’occasion d’aborder d</w:t>
      </w:r>
      <w:r>
        <w:t xml:space="preserve">es notions </w:t>
      </w:r>
      <w:r w:rsidR="006128DF">
        <w:t xml:space="preserve">sur le fonctionnement d’un </w:t>
      </w:r>
      <w:r>
        <w:t xml:space="preserve">bassin versant, </w:t>
      </w:r>
      <w:r w:rsidR="006128DF">
        <w:t>sur le principe de la</w:t>
      </w:r>
      <w:r>
        <w:t xml:space="preserve"> gestion intégrée de l’eau ainsi que </w:t>
      </w:r>
      <w:r w:rsidR="006128DF">
        <w:t xml:space="preserve">de présenter </w:t>
      </w:r>
      <w:r>
        <w:t>les résultats du suivi de la qualité de l’eau qui a été réalisé</w:t>
      </w:r>
      <w:r w:rsidR="00FD42AE">
        <w:t>e</w:t>
      </w:r>
      <w:r w:rsidR="006128DF">
        <w:t xml:space="preserve"> entre mai et novembre 2011 sur les secteurs agricoles des tributaires du sud du lac Matapédia.</w:t>
      </w:r>
    </w:p>
    <w:p w:rsidR="00E67FD6" w:rsidRDefault="00E67FD6" w:rsidP="003C66B3">
      <w:pPr>
        <w:spacing w:after="0" w:line="360" w:lineRule="auto"/>
        <w:jc w:val="both"/>
      </w:pPr>
    </w:p>
    <w:p w:rsidR="0083796F" w:rsidRDefault="0083796F" w:rsidP="00E67FD6">
      <w:pPr>
        <w:spacing w:after="0" w:line="360" w:lineRule="auto"/>
        <w:jc w:val="both"/>
      </w:pPr>
      <w:r>
        <w:t>Depuis juillet 2010, les agricultrices et agriculteurs du territoire se mobilisent afin de travailler ensemble sur la diminution des problématiques d’érosion au champ et aux berges ainsi que sur le maintien de bandes riveraines efficaces autour des cours d’eau et des milieux humides. Actuellement, un peu moins d’une vingtaine de fermes participent au projet et plusieurs autres ont témoignées leur intérêt pour y contribuer prochainement. Les fermes concernées par ce projet ne sont pas uniquement celles qui présentent des problématiques d’érosion sur leurs parcelles. Plusieurs productrices et producteurs sont engagés dans ce projet afin de soutenir cette mobilisation collective du milieu agricole pour la conservation du bassin versant du lac Matapédia.</w:t>
      </w:r>
    </w:p>
    <w:p w:rsidR="0083796F" w:rsidRDefault="0083796F" w:rsidP="00E67FD6">
      <w:pPr>
        <w:spacing w:after="0" w:line="360" w:lineRule="auto"/>
        <w:jc w:val="both"/>
      </w:pPr>
    </w:p>
    <w:p w:rsidR="00E67FD6" w:rsidRDefault="00E67FD6" w:rsidP="00E67FD6">
      <w:pPr>
        <w:spacing w:after="0" w:line="360" w:lineRule="auto"/>
        <w:jc w:val="both"/>
      </w:pPr>
      <w:r w:rsidRPr="006B7EF9">
        <w:lastRenderedPageBreak/>
        <w:t xml:space="preserve">Le projet de gestion intégrée de l’eau par bassin versant </w:t>
      </w:r>
      <w:r>
        <w:t>du lac Matapédia</w:t>
      </w:r>
      <w:r w:rsidRPr="006B7EF9">
        <w:t xml:space="preserve"> découle d’un partenariat entre le ministère de l’Agriculture, des Pêcheries et de l’Alimentation (MAPAQ), le ministère du Développement durable, de l’Environnement et des Parcs (MDDEP), Agriculture et Agroalimentaire Canada (AAC) et l’Union des producteurs agricoles (UPA).</w:t>
      </w:r>
      <w:r w:rsidR="006128DF">
        <w:t xml:space="preserve"> </w:t>
      </w:r>
    </w:p>
    <w:p w:rsidR="00FD42AE" w:rsidRDefault="00FD42AE" w:rsidP="00FD42AE">
      <w:pPr>
        <w:spacing w:after="0" w:line="360" w:lineRule="auto"/>
        <w:jc w:val="both"/>
      </w:pPr>
    </w:p>
    <w:p w:rsidR="00FD42AE" w:rsidRDefault="00FD42AE" w:rsidP="00FD42AE">
      <w:pPr>
        <w:spacing w:after="0" w:line="360" w:lineRule="auto"/>
        <w:jc w:val="both"/>
      </w:pPr>
      <w:r>
        <w:t xml:space="preserve">Nous tenons à remercier le Club agroenvironnemental Action-Sol de la Matapédia </w:t>
      </w:r>
      <w:r w:rsidR="0083796F">
        <w:t>ainsi que</w:t>
      </w:r>
      <w:r>
        <w:t xml:space="preserve"> le bureau du MAPAQ d’Amqui </w:t>
      </w:r>
      <w:r w:rsidR="003E63F3">
        <w:t>pour leur présence et leur soutien</w:t>
      </w:r>
      <w:r>
        <w:t xml:space="preserve"> </w:t>
      </w:r>
      <w:r w:rsidR="003E63F3">
        <w:t>dans</w:t>
      </w:r>
      <w:r>
        <w:t xml:space="preserve"> la réalisation de cette rencontre.</w:t>
      </w:r>
    </w:p>
    <w:p w:rsidR="00FD42AE" w:rsidRDefault="00FD42AE" w:rsidP="00E67FD6">
      <w:pPr>
        <w:spacing w:after="0" w:line="360" w:lineRule="auto"/>
        <w:jc w:val="both"/>
      </w:pPr>
    </w:p>
    <w:p w:rsidR="003E63F3" w:rsidRDefault="003E63F3" w:rsidP="00E67FD6">
      <w:pPr>
        <w:spacing w:after="0" w:line="360" w:lineRule="auto"/>
        <w:jc w:val="both"/>
      </w:pPr>
      <w:r>
        <w:t xml:space="preserve">Si vous avez des questions ou si vous êtes intéressé à participer au projet, vous pouvez contacter Pascaline Maddonini au 418-756-6115 poste 7013 ou bien à l’adresse suivante </w:t>
      </w:r>
      <w:hyperlink r:id="rId9" w:history="1">
        <w:r w:rsidRPr="00B97B7E">
          <w:rPr>
            <w:rStyle w:val="Lienhypertexte"/>
          </w:rPr>
          <w:t>agroenv@matapediarestigouche.org</w:t>
        </w:r>
      </w:hyperlink>
      <w:r>
        <w:t xml:space="preserve"> </w:t>
      </w:r>
    </w:p>
    <w:p w:rsidR="003E63F3" w:rsidRDefault="00535847" w:rsidP="00E67FD6">
      <w:pPr>
        <w:spacing w:after="0" w:line="360" w:lineRule="auto"/>
        <w:jc w:val="both"/>
      </w:pPr>
      <w:r>
        <w:rPr>
          <w:noProof/>
          <w:lang w:eastAsia="fr-CA"/>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170180</wp:posOffset>
            </wp:positionV>
            <wp:extent cx="1695450" cy="495300"/>
            <wp:effectExtent l="19050" t="0" r="0" b="0"/>
            <wp:wrapTight wrapText="bothSides">
              <wp:wrapPolygon edited="0">
                <wp:start x="-243" y="0"/>
                <wp:lineTo x="-243" y="20769"/>
                <wp:lineTo x="21600" y="20769"/>
                <wp:lineTo x="21600" y="0"/>
                <wp:lineTo x="-243" y="0"/>
              </wp:wrapPolygon>
            </wp:wrapTight>
            <wp:docPr id="2" name="Image 1" descr="\\Serveur\p\PROJETS\GIE SBV lac Matapédia #28\administration\LOGO\Logo 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p\PROJETS\GIE SBV lac Matapédia #28\administration\LOGO\Logo Ensemble.jpg"/>
                    <pic:cNvPicPr>
                      <a:picLocks noChangeAspect="1" noChangeArrowheads="1"/>
                    </pic:cNvPicPr>
                  </pic:nvPicPr>
                  <pic:blipFill>
                    <a:blip r:embed="rId10" cstate="print"/>
                    <a:srcRect/>
                    <a:stretch>
                      <a:fillRect/>
                    </a:stretch>
                  </pic:blipFill>
                  <pic:spPr bwMode="auto">
                    <a:xfrm>
                      <a:off x="0" y="0"/>
                      <a:ext cx="1695450" cy="495300"/>
                    </a:xfrm>
                    <a:prstGeom prst="rect">
                      <a:avLst/>
                    </a:prstGeom>
                    <a:noFill/>
                    <a:ln w="9525">
                      <a:noFill/>
                      <a:miter lim="800000"/>
                      <a:headEnd/>
                      <a:tailEnd/>
                    </a:ln>
                  </pic:spPr>
                </pic:pic>
              </a:graphicData>
            </a:graphic>
          </wp:anchor>
        </w:drawing>
      </w:r>
    </w:p>
    <w:p w:rsidR="003E63F3" w:rsidRDefault="003E63F3" w:rsidP="00E67FD6">
      <w:pPr>
        <w:spacing w:after="0" w:line="360" w:lineRule="auto"/>
        <w:jc w:val="both"/>
      </w:pPr>
    </w:p>
    <w:p w:rsidR="000D618D" w:rsidRDefault="000D618D" w:rsidP="00E67FD6">
      <w:pPr>
        <w:spacing w:after="0" w:line="360" w:lineRule="auto"/>
        <w:jc w:val="both"/>
      </w:pPr>
    </w:p>
    <w:p w:rsidR="00900D9D" w:rsidRDefault="00900D9D" w:rsidP="00535847">
      <w:pPr>
        <w:spacing w:after="0" w:line="360" w:lineRule="auto"/>
        <w:jc w:val="center"/>
      </w:pPr>
    </w:p>
    <w:p w:rsidR="004B5279" w:rsidRDefault="004B5279" w:rsidP="004B5279">
      <w:pPr>
        <w:spacing w:line="360" w:lineRule="auto"/>
        <w:jc w:val="center"/>
      </w:pPr>
      <w:r>
        <w:t>-30-</w:t>
      </w:r>
    </w:p>
    <w:p w:rsidR="00535847" w:rsidRDefault="00535847" w:rsidP="00246FDD"/>
    <w:p w:rsidR="00535847" w:rsidRDefault="008F7CC2" w:rsidP="00246FDD">
      <w:r>
        <w:t xml:space="preserve">Source : </w:t>
      </w:r>
      <w:r w:rsidR="00205A8C">
        <w:t>Pascaline Maddonini</w:t>
      </w:r>
      <w:r w:rsidR="00E01FC7">
        <w:br/>
      </w:r>
      <w:r w:rsidR="00205A8C">
        <w:t>Coordon</w:t>
      </w:r>
      <w:r w:rsidR="00A00EB9">
        <w:t>n</w:t>
      </w:r>
      <w:r w:rsidR="00205A8C">
        <w:t>atrice du projet – conseillère en agroenvironnement</w:t>
      </w:r>
      <w:r w:rsidR="00E01FC7">
        <w:br/>
      </w:r>
      <w:r w:rsidR="004B5279">
        <w:t>Organisme de bassin versant Matapédia-Restigouche</w:t>
      </w:r>
      <w:r w:rsidR="00E01FC7">
        <w:br/>
      </w:r>
      <w:r w:rsidR="004B5279">
        <w:t>418-756-6115 poste 7013</w:t>
      </w:r>
      <w:r w:rsidR="00E01FC7">
        <w:br/>
      </w:r>
      <w:hyperlink r:id="rId11" w:history="1">
        <w:r w:rsidR="00205A8C" w:rsidRPr="00B97B7E">
          <w:rPr>
            <w:rStyle w:val="Lienhypertexte"/>
          </w:rPr>
          <w:t>agroenv@matapediarestigouche.org</w:t>
        </w:r>
      </w:hyperlink>
      <w:r w:rsidR="004B5279">
        <w:t xml:space="preserve"> </w:t>
      </w:r>
    </w:p>
    <w:p w:rsidR="00535847" w:rsidRDefault="00535847" w:rsidP="00535847"/>
    <w:p w:rsidR="00EB0751" w:rsidRPr="00535847" w:rsidRDefault="00535847" w:rsidP="00535847">
      <w:pPr>
        <w:ind w:firstLine="708"/>
      </w:pPr>
      <w:r>
        <w:rPr>
          <w:noProof/>
          <w:lang w:eastAsia="fr-CA"/>
        </w:rPr>
        <w:drawing>
          <wp:anchor distT="0" distB="0" distL="114300" distR="114300" simplePos="0" relativeHeight="251660288" behindDoc="1" locked="0" layoutInCell="1" allowOverlap="1">
            <wp:simplePos x="0" y="0"/>
            <wp:positionH relativeFrom="column">
              <wp:posOffset>371475</wp:posOffset>
            </wp:positionH>
            <wp:positionV relativeFrom="paragraph">
              <wp:posOffset>171450</wp:posOffset>
            </wp:positionV>
            <wp:extent cx="5029200" cy="619125"/>
            <wp:effectExtent l="19050" t="0" r="0" b="0"/>
            <wp:wrapTight wrapText="bothSides">
              <wp:wrapPolygon edited="0">
                <wp:start x="-82" y="0"/>
                <wp:lineTo x="-82" y="21268"/>
                <wp:lineTo x="21600" y="21268"/>
                <wp:lineTo x="21600" y="0"/>
                <wp:lineTo x="-82" y="0"/>
              </wp:wrapPolygon>
            </wp:wrapTight>
            <wp:docPr id="3" name="Image 2" descr="\\Serveur\p\PROJETS\GIE SBV lac Matapédia #28\administration\LOGO\Logo Canada_QC_UPA_hori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p\PROJETS\GIE SBV lac Matapédia #28\administration\LOGO\Logo Canada_QC_UPA_horizontale.jpg"/>
                    <pic:cNvPicPr>
                      <a:picLocks noChangeAspect="1" noChangeArrowheads="1"/>
                    </pic:cNvPicPr>
                  </pic:nvPicPr>
                  <pic:blipFill>
                    <a:blip r:embed="rId12" cstate="print"/>
                    <a:srcRect/>
                    <a:stretch>
                      <a:fillRect/>
                    </a:stretch>
                  </pic:blipFill>
                  <pic:spPr bwMode="auto">
                    <a:xfrm>
                      <a:off x="0" y="0"/>
                      <a:ext cx="5029200" cy="619125"/>
                    </a:xfrm>
                    <a:prstGeom prst="rect">
                      <a:avLst/>
                    </a:prstGeom>
                    <a:noFill/>
                    <a:ln w="9525">
                      <a:noFill/>
                      <a:miter lim="800000"/>
                      <a:headEnd/>
                      <a:tailEnd/>
                    </a:ln>
                  </pic:spPr>
                </pic:pic>
              </a:graphicData>
            </a:graphic>
          </wp:anchor>
        </w:drawing>
      </w:r>
    </w:p>
    <w:sectPr w:rsidR="00EB0751" w:rsidRPr="00535847" w:rsidSect="00F1769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47" w:rsidRDefault="00535847" w:rsidP="00D87CB2">
      <w:pPr>
        <w:spacing w:after="0" w:line="240" w:lineRule="auto"/>
      </w:pPr>
      <w:r>
        <w:separator/>
      </w:r>
    </w:p>
  </w:endnote>
  <w:endnote w:type="continuationSeparator" w:id="0">
    <w:p w:rsidR="00535847" w:rsidRDefault="00535847" w:rsidP="00D8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47" w:rsidRDefault="00535847" w:rsidP="00D87CB2">
      <w:pPr>
        <w:spacing w:after="0" w:line="240" w:lineRule="auto"/>
      </w:pPr>
      <w:r>
        <w:separator/>
      </w:r>
    </w:p>
  </w:footnote>
  <w:footnote w:type="continuationSeparator" w:id="0">
    <w:p w:rsidR="00535847" w:rsidRDefault="00535847" w:rsidP="00D87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751F1"/>
    <w:multiLevelType w:val="hybridMultilevel"/>
    <w:tmpl w:val="CAE8D592"/>
    <w:lvl w:ilvl="0" w:tplc="0C0C0001">
      <w:start w:val="1"/>
      <w:numFmt w:val="bullet"/>
      <w:lvlText w:val=""/>
      <w:lvlJc w:val="left"/>
      <w:pPr>
        <w:ind w:left="3900" w:hanging="360"/>
      </w:pPr>
      <w:rPr>
        <w:rFonts w:ascii="Symbol" w:hAnsi="Symbol"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3422"/>
    <w:rsid w:val="00054438"/>
    <w:rsid w:val="00063F5E"/>
    <w:rsid w:val="00092F2C"/>
    <w:rsid w:val="000B1B13"/>
    <w:rsid w:val="000B266A"/>
    <w:rsid w:val="000B6543"/>
    <w:rsid w:val="000D618D"/>
    <w:rsid w:val="001030BF"/>
    <w:rsid w:val="00107041"/>
    <w:rsid w:val="00107DF4"/>
    <w:rsid w:val="00126A89"/>
    <w:rsid w:val="00133EAD"/>
    <w:rsid w:val="0013440D"/>
    <w:rsid w:val="00137154"/>
    <w:rsid w:val="00143083"/>
    <w:rsid w:val="00144120"/>
    <w:rsid w:val="00161D27"/>
    <w:rsid w:val="00170DD3"/>
    <w:rsid w:val="00186EA7"/>
    <w:rsid w:val="00187C7A"/>
    <w:rsid w:val="001D250E"/>
    <w:rsid w:val="001E4F0D"/>
    <w:rsid w:val="00205A8C"/>
    <w:rsid w:val="00210029"/>
    <w:rsid w:val="00211987"/>
    <w:rsid w:val="00233511"/>
    <w:rsid w:val="00246FDD"/>
    <w:rsid w:val="002470F6"/>
    <w:rsid w:val="00262706"/>
    <w:rsid w:val="00275926"/>
    <w:rsid w:val="0028228A"/>
    <w:rsid w:val="002B7E6D"/>
    <w:rsid w:val="002D1D1B"/>
    <w:rsid w:val="00326F5B"/>
    <w:rsid w:val="0033449D"/>
    <w:rsid w:val="00370577"/>
    <w:rsid w:val="00394987"/>
    <w:rsid w:val="003A677A"/>
    <w:rsid w:val="003B1516"/>
    <w:rsid w:val="003C66B3"/>
    <w:rsid w:val="003D0A22"/>
    <w:rsid w:val="003D43F2"/>
    <w:rsid w:val="003E63F3"/>
    <w:rsid w:val="003F3271"/>
    <w:rsid w:val="0040594F"/>
    <w:rsid w:val="00406F78"/>
    <w:rsid w:val="00411BBE"/>
    <w:rsid w:val="00446D5C"/>
    <w:rsid w:val="004643EE"/>
    <w:rsid w:val="0047377A"/>
    <w:rsid w:val="00474231"/>
    <w:rsid w:val="004A0128"/>
    <w:rsid w:val="004B5279"/>
    <w:rsid w:val="004B5D2B"/>
    <w:rsid w:val="004C1466"/>
    <w:rsid w:val="004C1FB0"/>
    <w:rsid w:val="005326B2"/>
    <w:rsid w:val="00535847"/>
    <w:rsid w:val="0056550A"/>
    <w:rsid w:val="0056703D"/>
    <w:rsid w:val="00572C55"/>
    <w:rsid w:val="0058477D"/>
    <w:rsid w:val="006026A0"/>
    <w:rsid w:val="0060500F"/>
    <w:rsid w:val="00611401"/>
    <w:rsid w:val="006128DF"/>
    <w:rsid w:val="00625973"/>
    <w:rsid w:val="006309D1"/>
    <w:rsid w:val="0063700F"/>
    <w:rsid w:val="0065529A"/>
    <w:rsid w:val="00655CBC"/>
    <w:rsid w:val="006A243F"/>
    <w:rsid w:val="006A3591"/>
    <w:rsid w:val="006A3A4B"/>
    <w:rsid w:val="006B3422"/>
    <w:rsid w:val="006B3E2D"/>
    <w:rsid w:val="006B74E3"/>
    <w:rsid w:val="006B7EF9"/>
    <w:rsid w:val="006B7F5A"/>
    <w:rsid w:val="006E213C"/>
    <w:rsid w:val="007021BD"/>
    <w:rsid w:val="007126D4"/>
    <w:rsid w:val="00732590"/>
    <w:rsid w:val="00741A17"/>
    <w:rsid w:val="00770545"/>
    <w:rsid w:val="007B3EBA"/>
    <w:rsid w:val="007E4745"/>
    <w:rsid w:val="007F33FA"/>
    <w:rsid w:val="00814AAE"/>
    <w:rsid w:val="00815D6B"/>
    <w:rsid w:val="008378C0"/>
    <w:rsid w:val="0083796F"/>
    <w:rsid w:val="008D6912"/>
    <w:rsid w:val="008E6AF7"/>
    <w:rsid w:val="008F6B98"/>
    <w:rsid w:val="008F7CC2"/>
    <w:rsid w:val="00900D9D"/>
    <w:rsid w:val="00921CCE"/>
    <w:rsid w:val="00931A01"/>
    <w:rsid w:val="009471F3"/>
    <w:rsid w:val="009E2364"/>
    <w:rsid w:val="009F6A7C"/>
    <w:rsid w:val="00A00EB9"/>
    <w:rsid w:val="00A0675C"/>
    <w:rsid w:val="00A230E5"/>
    <w:rsid w:val="00A33DF2"/>
    <w:rsid w:val="00A63B58"/>
    <w:rsid w:val="00A66AE7"/>
    <w:rsid w:val="00A73A6D"/>
    <w:rsid w:val="00A86828"/>
    <w:rsid w:val="00A9306F"/>
    <w:rsid w:val="00AA689C"/>
    <w:rsid w:val="00AA6D08"/>
    <w:rsid w:val="00AA742C"/>
    <w:rsid w:val="00AB65AA"/>
    <w:rsid w:val="00AC6BE7"/>
    <w:rsid w:val="00AC7364"/>
    <w:rsid w:val="00AD2937"/>
    <w:rsid w:val="00B01651"/>
    <w:rsid w:val="00B43725"/>
    <w:rsid w:val="00B62481"/>
    <w:rsid w:val="00B810E7"/>
    <w:rsid w:val="00B84B2A"/>
    <w:rsid w:val="00BA741B"/>
    <w:rsid w:val="00BB6871"/>
    <w:rsid w:val="00BC45E8"/>
    <w:rsid w:val="00BC5B1C"/>
    <w:rsid w:val="00BD675B"/>
    <w:rsid w:val="00C14011"/>
    <w:rsid w:val="00C44346"/>
    <w:rsid w:val="00C56361"/>
    <w:rsid w:val="00C77DD0"/>
    <w:rsid w:val="00C86C00"/>
    <w:rsid w:val="00C87C84"/>
    <w:rsid w:val="00CA6BC6"/>
    <w:rsid w:val="00CB5266"/>
    <w:rsid w:val="00CC79DA"/>
    <w:rsid w:val="00CD1692"/>
    <w:rsid w:val="00CF318E"/>
    <w:rsid w:val="00D05669"/>
    <w:rsid w:val="00D11305"/>
    <w:rsid w:val="00D15457"/>
    <w:rsid w:val="00D154CB"/>
    <w:rsid w:val="00D200CB"/>
    <w:rsid w:val="00D258F1"/>
    <w:rsid w:val="00D30402"/>
    <w:rsid w:val="00D37499"/>
    <w:rsid w:val="00D44234"/>
    <w:rsid w:val="00D4702E"/>
    <w:rsid w:val="00D52293"/>
    <w:rsid w:val="00D53D0D"/>
    <w:rsid w:val="00D557CE"/>
    <w:rsid w:val="00D8327C"/>
    <w:rsid w:val="00D87CB2"/>
    <w:rsid w:val="00D92545"/>
    <w:rsid w:val="00DA339F"/>
    <w:rsid w:val="00DC1B6F"/>
    <w:rsid w:val="00E01FC7"/>
    <w:rsid w:val="00E057D9"/>
    <w:rsid w:val="00E15BDE"/>
    <w:rsid w:val="00E33C88"/>
    <w:rsid w:val="00E468CE"/>
    <w:rsid w:val="00E63776"/>
    <w:rsid w:val="00E65090"/>
    <w:rsid w:val="00E67FD6"/>
    <w:rsid w:val="00E708BF"/>
    <w:rsid w:val="00EB0751"/>
    <w:rsid w:val="00EE6BC3"/>
    <w:rsid w:val="00EF15B8"/>
    <w:rsid w:val="00F06DE8"/>
    <w:rsid w:val="00F1769B"/>
    <w:rsid w:val="00F17D81"/>
    <w:rsid w:val="00F25662"/>
    <w:rsid w:val="00F30458"/>
    <w:rsid w:val="00F3164F"/>
    <w:rsid w:val="00F35A91"/>
    <w:rsid w:val="00F76978"/>
    <w:rsid w:val="00FB609C"/>
    <w:rsid w:val="00FC63A7"/>
    <w:rsid w:val="00FD3F4A"/>
    <w:rsid w:val="00FD42A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9B"/>
  </w:style>
  <w:style w:type="paragraph" w:styleId="Titre2">
    <w:name w:val="heading 2"/>
    <w:basedOn w:val="Normal"/>
    <w:next w:val="Normal"/>
    <w:link w:val="Titre2Car"/>
    <w:uiPriority w:val="9"/>
    <w:unhideWhenUsed/>
    <w:qFormat/>
    <w:rsid w:val="00EB0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86EA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3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422"/>
    <w:rPr>
      <w:rFonts w:ascii="Tahoma" w:hAnsi="Tahoma" w:cs="Tahoma"/>
      <w:sz w:val="16"/>
      <w:szCs w:val="16"/>
    </w:rPr>
  </w:style>
  <w:style w:type="character" w:styleId="Lienhypertexte">
    <w:name w:val="Hyperlink"/>
    <w:basedOn w:val="Policepardfaut"/>
    <w:uiPriority w:val="99"/>
    <w:unhideWhenUsed/>
    <w:rsid w:val="004B5279"/>
    <w:rPr>
      <w:color w:val="0000FF" w:themeColor="hyperlink"/>
      <w:u w:val="single"/>
    </w:rPr>
  </w:style>
  <w:style w:type="character" w:customStyle="1" w:styleId="Titre3Car">
    <w:name w:val="Titre 3 Car"/>
    <w:basedOn w:val="Policepardfaut"/>
    <w:link w:val="Titre3"/>
    <w:uiPriority w:val="9"/>
    <w:rsid w:val="00186EA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86E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BA741B"/>
    <w:rPr>
      <w:sz w:val="16"/>
      <w:szCs w:val="16"/>
    </w:rPr>
  </w:style>
  <w:style w:type="paragraph" w:styleId="Commentaire">
    <w:name w:val="annotation text"/>
    <w:basedOn w:val="Normal"/>
    <w:link w:val="CommentaireCar"/>
    <w:uiPriority w:val="99"/>
    <w:semiHidden/>
    <w:unhideWhenUsed/>
    <w:rsid w:val="00BA741B"/>
    <w:pPr>
      <w:spacing w:line="240" w:lineRule="auto"/>
    </w:pPr>
    <w:rPr>
      <w:sz w:val="20"/>
      <w:szCs w:val="20"/>
    </w:rPr>
  </w:style>
  <w:style w:type="character" w:customStyle="1" w:styleId="CommentaireCar">
    <w:name w:val="Commentaire Car"/>
    <w:basedOn w:val="Policepardfaut"/>
    <w:link w:val="Commentaire"/>
    <w:uiPriority w:val="99"/>
    <w:semiHidden/>
    <w:rsid w:val="00BA741B"/>
    <w:rPr>
      <w:sz w:val="20"/>
      <w:szCs w:val="20"/>
    </w:rPr>
  </w:style>
  <w:style w:type="paragraph" w:styleId="Objetducommentaire">
    <w:name w:val="annotation subject"/>
    <w:basedOn w:val="Commentaire"/>
    <w:next w:val="Commentaire"/>
    <w:link w:val="ObjetducommentaireCar"/>
    <w:uiPriority w:val="99"/>
    <w:semiHidden/>
    <w:unhideWhenUsed/>
    <w:rsid w:val="00BA741B"/>
    <w:rPr>
      <w:b/>
      <w:bCs/>
    </w:rPr>
  </w:style>
  <w:style w:type="character" w:customStyle="1" w:styleId="ObjetducommentaireCar">
    <w:name w:val="Objet du commentaire Car"/>
    <w:basedOn w:val="CommentaireCar"/>
    <w:link w:val="Objetducommentaire"/>
    <w:uiPriority w:val="99"/>
    <w:semiHidden/>
    <w:rsid w:val="00BA741B"/>
    <w:rPr>
      <w:b/>
      <w:bCs/>
    </w:rPr>
  </w:style>
  <w:style w:type="character" w:styleId="Lienhypertextesuivivisit">
    <w:name w:val="FollowedHyperlink"/>
    <w:basedOn w:val="Policepardfaut"/>
    <w:uiPriority w:val="99"/>
    <w:semiHidden/>
    <w:unhideWhenUsed/>
    <w:rsid w:val="00F30458"/>
    <w:rPr>
      <w:color w:val="800080" w:themeColor="followedHyperlink"/>
      <w:u w:val="single"/>
    </w:rPr>
  </w:style>
  <w:style w:type="character" w:customStyle="1" w:styleId="Titre2Car">
    <w:name w:val="Titre 2 Car"/>
    <w:basedOn w:val="Policepardfaut"/>
    <w:link w:val="Titre2"/>
    <w:uiPriority w:val="9"/>
    <w:rsid w:val="00EB075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32590"/>
    <w:rPr>
      <w:b/>
      <w:bCs/>
    </w:rPr>
  </w:style>
  <w:style w:type="paragraph" w:styleId="Notedebasdepage">
    <w:name w:val="footnote text"/>
    <w:basedOn w:val="Normal"/>
    <w:link w:val="NotedebasdepageCar"/>
    <w:uiPriority w:val="99"/>
    <w:semiHidden/>
    <w:unhideWhenUsed/>
    <w:rsid w:val="00D87C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7CB2"/>
    <w:rPr>
      <w:sz w:val="20"/>
      <w:szCs w:val="20"/>
    </w:rPr>
  </w:style>
  <w:style w:type="character" w:styleId="Appelnotedebasdep">
    <w:name w:val="footnote reference"/>
    <w:basedOn w:val="Policepardfaut"/>
    <w:uiPriority w:val="99"/>
    <w:semiHidden/>
    <w:unhideWhenUsed/>
    <w:rsid w:val="00D87CB2"/>
    <w:rPr>
      <w:vertAlign w:val="superscript"/>
    </w:rPr>
  </w:style>
  <w:style w:type="paragraph" w:customStyle="1" w:styleId="Index2">
    <w:name w:val="Index2"/>
    <w:basedOn w:val="Normal"/>
    <w:rsid w:val="00C77DD0"/>
    <w:pPr>
      <w:widowControl w:val="0"/>
      <w:autoSpaceDN w:val="0"/>
      <w:adjustRightInd w:val="0"/>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810E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5547758">
      <w:bodyDiv w:val="1"/>
      <w:marLeft w:val="0"/>
      <w:marRight w:val="0"/>
      <w:marTop w:val="0"/>
      <w:marBottom w:val="0"/>
      <w:divBdr>
        <w:top w:val="none" w:sz="0" w:space="0" w:color="auto"/>
        <w:left w:val="none" w:sz="0" w:space="0" w:color="auto"/>
        <w:bottom w:val="none" w:sz="0" w:space="0" w:color="auto"/>
        <w:right w:val="none" w:sz="0" w:space="0" w:color="auto"/>
      </w:divBdr>
      <w:divsChild>
        <w:div w:id="1951085310">
          <w:marLeft w:val="0"/>
          <w:marRight w:val="0"/>
          <w:marTop w:val="0"/>
          <w:marBottom w:val="0"/>
          <w:divBdr>
            <w:top w:val="none" w:sz="0" w:space="0" w:color="auto"/>
            <w:left w:val="none" w:sz="0" w:space="0" w:color="auto"/>
            <w:bottom w:val="none" w:sz="0" w:space="0" w:color="auto"/>
            <w:right w:val="none" w:sz="0" w:space="0" w:color="auto"/>
          </w:divBdr>
          <w:divsChild>
            <w:div w:id="886525126">
              <w:marLeft w:val="0"/>
              <w:marRight w:val="0"/>
              <w:marTop w:val="0"/>
              <w:marBottom w:val="0"/>
              <w:divBdr>
                <w:top w:val="none" w:sz="0" w:space="0" w:color="auto"/>
                <w:left w:val="none" w:sz="0" w:space="0" w:color="auto"/>
                <w:bottom w:val="none" w:sz="0" w:space="0" w:color="auto"/>
                <w:right w:val="none" w:sz="0" w:space="0" w:color="auto"/>
              </w:divBdr>
              <w:divsChild>
                <w:div w:id="1507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env@matapediarestigouche.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groenv@matapediarestigouche.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6C32-AC05-4EA9-BB8F-DC2713B2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Poste2</dc:creator>
  <cp:lastModifiedBy>Pascaline</cp:lastModifiedBy>
  <cp:revision>18</cp:revision>
  <cp:lastPrinted>2012-02-07T19:01:00Z</cp:lastPrinted>
  <dcterms:created xsi:type="dcterms:W3CDTF">2012-02-03T16:04:00Z</dcterms:created>
  <dcterms:modified xsi:type="dcterms:W3CDTF">2012-02-07T19:42:00Z</dcterms:modified>
</cp:coreProperties>
</file>